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60921">
      <w:pPr>
        <w:spacing w:line="600" w:lineRule="exact"/>
        <w:ind w:left="0"/>
        <w:jc w:val="left"/>
        <w:rPr>
          <w:rFonts w:hint="eastAsia" w:ascii="仿宋_GB2312" w:hAnsi="仿宋_GB2312" w:eastAsia="仿宋_GB2312" w:cs="仿宋_GB2312"/>
          <w:sz w:val="24"/>
        </w:rPr>
      </w:pPr>
      <w:r>
        <w:rPr>
          <w:rFonts w:hint="eastAsia" w:ascii="仿宋_GB2312" w:hAnsi="仿宋_GB2312" w:eastAsia="仿宋_GB2312" w:cs="仿宋_GB2312"/>
          <w:b/>
          <w:sz w:val="28"/>
          <w:szCs w:val="28"/>
        </w:rPr>
        <w:t>附件2-2</w:t>
      </w:r>
    </w:p>
    <w:p w14:paraId="4BF2D552">
      <w:pPr>
        <w:spacing w:line="600" w:lineRule="exact"/>
        <w:ind w:left="0"/>
        <w:jc w:val="center"/>
        <w:rPr>
          <w:rFonts w:ascii="宋体" w:hAnsi="宋体"/>
          <w:b/>
          <w:w w:val="85"/>
          <w:sz w:val="36"/>
          <w:szCs w:val="36"/>
        </w:rPr>
      </w:pPr>
      <w:r>
        <w:rPr>
          <w:rFonts w:hint="eastAsia" w:ascii="宋体" w:hAnsi="宋体"/>
          <w:b/>
          <w:w w:val="85"/>
          <w:sz w:val="36"/>
          <w:szCs w:val="36"/>
        </w:rPr>
        <w:t>2024</w:t>
      </w:r>
      <w:r>
        <w:rPr>
          <w:rFonts w:ascii="宋体" w:hAnsi="宋体"/>
          <w:b/>
          <w:w w:val="85"/>
          <w:sz w:val="36"/>
          <w:szCs w:val="36"/>
        </w:rPr>
        <w:t>年度新晃县</w:t>
      </w:r>
      <w:r>
        <w:rPr>
          <w:rFonts w:hint="eastAsia" w:ascii="宋体" w:hAnsi="宋体"/>
          <w:b/>
          <w:w w:val="85"/>
          <w:sz w:val="36"/>
          <w:szCs w:val="36"/>
          <w:lang w:eastAsia="zh-CN"/>
        </w:rPr>
        <w:t>鱼市镇晏家完全小学学校校</w:t>
      </w:r>
      <w:r>
        <w:rPr>
          <w:rFonts w:hint="eastAsia" w:ascii="宋体" w:hAnsi="宋体"/>
          <w:b/>
          <w:w w:val="85"/>
          <w:sz w:val="36"/>
          <w:szCs w:val="36"/>
          <w:lang w:val="en-US" w:eastAsia="zh-CN"/>
        </w:rPr>
        <w:t>营养改善</w:t>
      </w:r>
      <w:r>
        <w:rPr>
          <w:rFonts w:hint="eastAsia" w:ascii="宋体" w:hAnsi="宋体"/>
          <w:b/>
          <w:w w:val="85"/>
          <w:sz w:val="36"/>
          <w:szCs w:val="36"/>
          <w:lang w:eastAsia="zh-CN"/>
        </w:rPr>
        <w:t>计划</w:t>
      </w:r>
      <w:r>
        <w:rPr>
          <w:rFonts w:ascii="宋体" w:hAnsi="宋体"/>
          <w:b/>
          <w:w w:val="85"/>
          <w:sz w:val="36"/>
          <w:szCs w:val="36"/>
        </w:rPr>
        <w:t>项目</w:t>
      </w: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14:paraId="110836F0">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5"/>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03EEA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14:paraId="473ABD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14:paraId="6CFB774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14:paraId="14570C2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noWrap w:val="0"/>
            <w:tcMar>
              <w:top w:w="0" w:type="dxa"/>
              <w:left w:w="105" w:type="dxa"/>
              <w:bottom w:w="0" w:type="dxa"/>
              <w:right w:w="105" w:type="dxa"/>
            </w:tcMar>
            <w:vAlign w:val="center"/>
          </w:tcPr>
          <w:p w14:paraId="74E3AE8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14:paraId="460C375C">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营养改善计划</w:t>
            </w:r>
          </w:p>
        </w:tc>
      </w:tr>
      <w:tr w14:paraId="126B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14:paraId="07A6F32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w:t>
            </w:r>
          </w:p>
          <w:p w14:paraId="485845D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14:paraId="04458674">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新晃侗族自治县鱼市镇晏家完全小学学校</w:t>
            </w:r>
          </w:p>
        </w:tc>
        <w:tc>
          <w:tcPr>
            <w:tcW w:w="1628" w:type="dxa"/>
            <w:noWrap w:val="0"/>
            <w:tcMar>
              <w:top w:w="0" w:type="dxa"/>
              <w:left w:w="105" w:type="dxa"/>
              <w:bottom w:w="0" w:type="dxa"/>
              <w:right w:w="105" w:type="dxa"/>
            </w:tcMar>
            <w:vAlign w:val="center"/>
          </w:tcPr>
          <w:p w14:paraId="79EAF64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14:paraId="1596ACF8">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 w:val="24"/>
                <w:lang w:eastAsia="zh-CN"/>
              </w:rPr>
              <w:t>申惠文</w:t>
            </w:r>
          </w:p>
        </w:tc>
        <w:tc>
          <w:tcPr>
            <w:tcW w:w="1206" w:type="dxa"/>
            <w:noWrap w:val="0"/>
            <w:tcMar>
              <w:top w:w="0" w:type="dxa"/>
              <w:left w:w="105" w:type="dxa"/>
              <w:bottom w:w="0" w:type="dxa"/>
              <w:right w:w="105" w:type="dxa"/>
            </w:tcMar>
            <w:vAlign w:val="center"/>
          </w:tcPr>
          <w:p w14:paraId="6A3C4AD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14:paraId="606EB899">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 w:val="24"/>
                <w:lang w:val="en-US" w:eastAsia="zh-CN"/>
              </w:rPr>
              <w:t>18607459616</w:t>
            </w:r>
          </w:p>
        </w:tc>
      </w:tr>
      <w:tr w14:paraId="394BB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14:paraId="68B364C3">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14:paraId="181BCB2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14:paraId="09193F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14:paraId="32E46CB4">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14:paraId="5C9FA58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14:paraId="0867410F">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14:paraId="3668F57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14:paraId="2443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14:paraId="05AFED8A">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14:paraId="2334EF6F">
            <w:pPr>
              <w:spacing w:line="320" w:lineRule="exact"/>
              <w:jc w:val="center"/>
              <w:rPr>
                <w:rFonts w:hint="eastAsia"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14:paraId="764DD9B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12</w:t>
            </w:r>
          </w:p>
        </w:tc>
        <w:tc>
          <w:tcPr>
            <w:tcW w:w="1628" w:type="dxa"/>
            <w:noWrap w:val="0"/>
            <w:tcMar>
              <w:top w:w="0" w:type="dxa"/>
              <w:left w:w="105" w:type="dxa"/>
              <w:bottom w:w="0" w:type="dxa"/>
              <w:right w:w="105" w:type="dxa"/>
            </w:tcMar>
            <w:vAlign w:val="center"/>
          </w:tcPr>
          <w:p w14:paraId="61804A86">
            <w:pPr>
              <w:spacing w:line="320" w:lineRule="exact"/>
              <w:jc w:val="center"/>
              <w:rPr>
                <w:rFonts w:hint="default" w:ascii="仿宋_GB2312" w:hAnsi="仿宋_GB2312" w:eastAsia="仿宋_GB2312" w:cs="仿宋_GB2312"/>
                <w:szCs w:val="21"/>
                <w:lang w:val="en-US" w:eastAsia="zh-CN"/>
              </w:rPr>
            </w:pPr>
          </w:p>
        </w:tc>
        <w:tc>
          <w:tcPr>
            <w:tcW w:w="2303" w:type="dxa"/>
            <w:gridSpan w:val="2"/>
            <w:noWrap w:val="0"/>
            <w:tcMar>
              <w:top w:w="0" w:type="dxa"/>
              <w:left w:w="105" w:type="dxa"/>
              <w:bottom w:w="0" w:type="dxa"/>
              <w:right w:w="105" w:type="dxa"/>
            </w:tcMar>
            <w:vAlign w:val="center"/>
          </w:tcPr>
          <w:p w14:paraId="4E3E0C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8.29</w:t>
            </w:r>
          </w:p>
        </w:tc>
        <w:tc>
          <w:tcPr>
            <w:tcW w:w="1702" w:type="dxa"/>
            <w:gridSpan w:val="2"/>
            <w:noWrap w:val="0"/>
            <w:tcMar>
              <w:top w:w="0" w:type="dxa"/>
              <w:left w:w="105" w:type="dxa"/>
              <w:bottom w:w="0" w:type="dxa"/>
              <w:right w:w="105" w:type="dxa"/>
            </w:tcMar>
            <w:vAlign w:val="center"/>
          </w:tcPr>
          <w:p w14:paraId="236F449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69.08%</w:t>
            </w:r>
          </w:p>
        </w:tc>
      </w:tr>
      <w:tr w14:paraId="6467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14:paraId="2EADEF42">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14:paraId="713C954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14:paraId="7253544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14:paraId="42ECD99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14:paraId="0047240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14:paraId="67EB6AA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14:paraId="191A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14:paraId="30D8E00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14:paraId="7F69DFC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5770BD9D">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14:paraId="4F044D31">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660D051C">
            <w:pPr>
              <w:spacing w:line="320" w:lineRule="exact"/>
              <w:jc w:val="center"/>
              <w:rPr>
                <w:rFonts w:hint="eastAsia" w:ascii="仿宋_GB2312" w:hAnsi="仿宋_GB2312" w:eastAsia="仿宋_GB2312" w:cs="仿宋_GB2312"/>
                <w:szCs w:val="21"/>
              </w:rPr>
            </w:pPr>
          </w:p>
        </w:tc>
      </w:tr>
      <w:tr w14:paraId="3437B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14:paraId="4AFA4562">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14:paraId="6C4B974E">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48B4EC88">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8.29</w:t>
            </w:r>
            <w:r>
              <w:rPr>
                <w:rFonts w:hint="default" w:ascii="Arial" w:hAnsi="Arial" w:eastAsia="仿宋_GB2312" w:cs="Arial"/>
                <w:szCs w:val="21"/>
                <w:lang w:val="en-US" w:eastAsia="zh-CN"/>
              </w:rPr>
              <w:t>÷</w:t>
            </w:r>
            <w:r>
              <w:rPr>
                <w:rFonts w:hint="eastAsia" w:ascii="仿宋_GB2312" w:hAnsi="仿宋_GB2312" w:eastAsia="仿宋_GB2312" w:cs="仿宋_GB2312"/>
                <w:szCs w:val="21"/>
                <w:lang w:val="en-US" w:eastAsia="zh-CN"/>
              </w:rPr>
              <w:t>12=69.08</w:t>
            </w:r>
            <w:r>
              <w:rPr>
                <w:rFonts w:hint="eastAsia" w:ascii="仿宋_GB2312" w:hAnsi="仿宋_GB2312" w:eastAsia="仿宋_GB2312" w:cs="仿宋_GB2312"/>
                <w:szCs w:val="21"/>
              </w:rPr>
              <w:t>%。根据实际情况评分</w:t>
            </w:r>
          </w:p>
        </w:tc>
        <w:tc>
          <w:tcPr>
            <w:tcW w:w="832" w:type="dxa"/>
            <w:noWrap w:val="0"/>
            <w:tcMar>
              <w:top w:w="0" w:type="dxa"/>
              <w:left w:w="105" w:type="dxa"/>
              <w:bottom w:w="0" w:type="dxa"/>
              <w:right w:w="105" w:type="dxa"/>
            </w:tcMar>
            <w:vAlign w:val="center"/>
          </w:tcPr>
          <w:p w14:paraId="7132EC5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7</w:t>
            </w:r>
          </w:p>
        </w:tc>
        <w:tc>
          <w:tcPr>
            <w:tcW w:w="870" w:type="dxa"/>
            <w:noWrap w:val="0"/>
            <w:tcMar>
              <w:top w:w="0" w:type="dxa"/>
              <w:left w:w="105" w:type="dxa"/>
              <w:bottom w:w="0" w:type="dxa"/>
              <w:right w:w="105" w:type="dxa"/>
            </w:tcMar>
            <w:vAlign w:val="center"/>
          </w:tcPr>
          <w:p w14:paraId="26AC8A10">
            <w:pPr>
              <w:spacing w:line="320" w:lineRule="exact"/>
              <w:jc w:val="center"/>
              <w:rPr>
                <w:rFonts w:hint="eastAsia" w:ascii="仿宋_GB2312" w:hAnsi="仿宋_GB2312" w:eastAsia="仿宋_GB2312" w:cs="仿宋_GB2312"/>
                <w:szCs w:val="21"/>
              </w:rPr>
            </w:pPr>
          </w:p>
        </w:tc>
      </w:tr>
      <w:tr w14:paraId="1348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14:paraId="13C4992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14:paraId="3DAB374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3682D0A3">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本项目建立了</w:t>
            </w:r>
            <w:r>
              <w:rPr>
                <w:rFonts w:hint="eastAsia" w:ascii="仿宋_GB2312" w:hAnsi="仿宋_GB2312" w:eastAsia="仿宋_GB2312" w:cs="仿宋_GB2312"/>
                <w:szCs w:val="21"/>
                <w:lang w:eastAsia="zh-CN"/>
              </w:rPr>
              <w:t>专项资金</w:t>
            </w:r>
            <w:r>
              <w:rPr>
                <w:rFonts w:hint="eastAsia" w:ascii="仿宋_GB2312" w:hAnsi="仿宋_GB2312" w:eastAsia="仿宋_GB2312" w:cs="仿宋_GB2312"/>
                <w:szCs w:val="21"/>
              </w:rPr>
              <w:t>项目管理制度，并严格按相关制度执行。</w:t>
            </w:r>
          </w:p>
        </w:tc>
        <w:tc>
          <w:tcPr>
            <w:tcW w:w="832" w:type="dxa"/>
            <w:noWrap w:val="0"/>
            <w:tcMar>
              <w:top w:w="0" w:type="dxa"/>
              <w:left w:w="105" w:type="dxa"/>
              <w:bottom w:w="0" w:type="dxa"/>
              <w:right w:w="105" w:type="dxa"/>
            </w:tcMar>
            <w:vAlign w:val="center"/>
          </w:tcPr>
          <w:p w14:paraId="72D6F5FD">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30E3F7B9">
            <w:pPr>
              <w:spacing w:line="320" w:lineRule="exact"/>
              <w:jc w:val="center"/>
              <w:rPr>
                <w:rFonts w:hint="eastAsia" w:ascii="仿宋_GB2312" w:hAnsi="仿宋_GB2312" w:eastAsia="仿宋_GB2312" w:cs="仿宋_GB2312"/>
                <w:szCs w:val="21"/>
              </w:rPr>
            </w:pPr>
          </w:p>
        </w:tc>
      </w:tr>
      <w:tr w14:paraId="1A14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14:paraId="6DEBDB6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14:paraId="6BFFC863">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14:paraId="3DD8A86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5D0D212">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14:paraId="31A4F80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41F73944">
            <w:pPr>
              <w:spacing w:line="320" w:lineRule="exact"/>
              <w:jc w:val="center"/>
              <w:rPr>
                <w:rFonts w:hint="eastAsia" w:ascii="仿宋_GB2312" w:hAnsi="仿宋_GB2312" w:eastAsia="仿宋_GB2312" w:cs="仿宋_GB2312"/>
                <w:szCs w:val="21"/>
              </w:rPr>
            </w:pPr>
          </w:p>
        </w:tc>
      </w:tr>
      <w:tr w14:paraId="2E651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restart"/>
            <w:noWrap w:val="0"/>
            <w:tcMar>
              <w:top w:w="0" w:type="dxa"/>
              <w:left w:w="105" w:type="dxa"/>
              <w:bottom w:w="0" w:type="dxa"/>
              <w:right w:w="105" w:type="dxa"/>
            </w:tcMar>
            <w:vAlign w:val="center"/>
          </w:tcPr>
          <w:p w14:paraId="4BA688DF">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vMerge w:val="restart"/>
            <w:noWrap w:val="0"/>
            <w:tcMar>
              <w:top w:w="0" w:type="dxa"/>
              <w:left w:w="105" w:type="dxa"/>
              <w:bottom w:w="0" w:type="dxa"/>
              <w:right w:w="105" w:type="dxa"/>
            </w:tcMar>
            <w:vAlign w:val="center"/>
          </w:tcPr>
          <w:p w14:paraId="4E1EA42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shd w:val="clear" w:color="auto" w:fill="auto"/>
            <w:noWrap w:val="0"/>
            <w:tcMar>
              <w:top w:w="0" w:type="dxa"/>
              <w:left w:w="105" w:type="dxa"/>
              <w:bottom w:w="0" w:type="dxa"/>
              <w:right w:w="105" w:type="dxa"/>
            </w:tcMar>
            <w:vAlign w:val="center"/>
          </w:tcPr>
          <w:p w14:paraId="5946E0F9">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产出目标：</w:t>
            </w:r>
            <w:r>
              <w:rPr>
                <w:rFonts w:hint="eastAsia" w:ascii="Times New Roman" w:hAnsi="Times New Roman" w:eastAsia="仿宋_GB2312" w:cs="Times New Roman"/>
                <w:sz w:val="20"/>
                <w:szCs w:val="20"/>
                <w:lang w:val="en-US"/>
              </w:rPr>
              <w:t>改善农村学生生活水平，为教育教学提供保障</w:t>
            </w:r>
            <w:r>
              <w:rPr>
                <w:rFonts w:hint="eastAsia" w:ascii="仿宋_GB2312" w:hAnsi="仿宋_GB2312" w:eastAsia="仿宋_GB2312" w:cs="仿宋_GB2312"/>
                <w:szCs w:val="21"/>
                <w:lang w:eastAsia="zh-CN"/>
              </w:rPr>
              <w:t>计</w:t>
            </w:r>
            <w:r>
              <w:rPr>
                <w:rFonts w:hint="eastAsia" w:ascii="仿宋_GB2312" w:hAnsi="仿宋_GB2312" w:eastAsia="仿宋_GB2312" w:cs="仿宋_GB2312"/>
                <w:szCs w:val="21"/>
                <w:lang w:val="en-US" w:eastAsia="zh-CN"/>
              </w:rPr>
              <w:t>10分。</w:t>
            </w:r>
          </w:p>
        </w:tc>
        <w:tc>
          <w:tcPr>
            <w:tcW w:w="832" w:type="dxa"/>
            <w:noWrap w:val="0"/>
            <w:tcMar>
              <w:top w:w="0" w:type="dxa"/>
              <w:left w:w="105" w:type="dxa"/>
              <w:bottom w:w="0" w:type="dxa"/>
              <w:right w:w="105" w:type="dxa"/>
            </w:tcMar>
            <w:vAlign w:val="center"/>
          </w:tcPr>
          <w:p w14:paraId="3EFF76E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73061D5C">
            <w:pPr>
              <w:spacing w:line="320" w:lineRule="exact"/>
              <w:jc w:val="center"/>
              <w:rPr>
                <w:rFonts w:hint="eastAsia" w:ascii="仿宋_GB2312" w:hAnsi="仿宋_GB2312" w:eastAsia="仿宋_GB2312" w:cs="仿宋_GB2312"/>
                <w:szCs w:val="21"/>
              </w:rPr>
            </w:pPr>
          </w:p>
        </w:tc>
      </w:tr>
      <w:tr w14:paraId="657C8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4013A05E">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73FE07DB">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7CB0252C">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产出时效：</w:t>
            </w:r>
            <w:r>
              <w:rPr>
                <w:rFonts w:hint="eastAsia" w:ascii="仿宋_GB2312" w:hAnsi="仿宋_GB2312" w:eastAsia="仿宋_GB2312" w:cs="仿宋_GB2312"/>
                <w:szCs w:val="21"/>
                <w:lang w:val="en-US" w:eastAsia="zh-CN"/>
              </w:rPr>
              <w:t>营养改善计划经费项目资金按时拨付到位，计10分。</w:t>
            </w:r>
          </w:p>
        </w:tc>
        <w:tc>
          <w:tcPr>
            <w:tcW w:w="832" w:type="dxa"/>
            <w:noWrap w:val="0"/>
            <w:tcMar>
              <w:top w:w="0" w:type="dxa"/>
              <w:left w:w="105" w:type="dxa"/>
              <w:bottom w:w="0" w:type="dxa"/>
              <w:right w:w="105" w:type="dxa"/>
            </w:tcMar>
            <w:vAlign w:val="center"/>
          </w:tcPr>
          <w:p w14:paraId="37B7C01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06C3343">
            <w:pPr>
              <w:spacing w:line="320" w:lineRule="exact"/>
              <w:jc w:val="center"/>
              <w:rPr>
                <w:rFonts w:hint="eastAsia" w:ascii="仿宋_GB2312" w:hAnsi="仿宋_GB2312" w:eastAsia="仿宋_GB2312" w:cs="仿宋_GB2312"/>
                <w:szCs w:val="21"/>
              </w:rPr>
            </w:pPr>
          </w:p>
        </w:tc>
      </w:tr>
      <w:tr w14:paraId="74CE0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6DB0F280">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480C4ADE">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6679D094">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rPr>
              <w:t>成本控制</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营养改善计划经费12万元，按照控制数执行，计10分。</w:t>
            </w:r>
          </w:p>
        </w:tc>
        <w:tc>
          <w:tcPr>
            <w:tcW w:w="832" w:type="dxa"/>
            <w:noWrap w:val="0"/>
            <w:tcMar>
              <w:top w:w="0" w:type="dxa"/>
              <w:left w:w="105" w:type="dxa"/>
              <w:bottom w:w="0" w:type="dxa"/>
              <w:right w:w="105" w:type="dxa"/>
            </w:tcMar>
            <w:vAlign w:val="center"/>
          </w:tcPr>
          <w:p w14:paraId="5843372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26BFA7D8">
            <w:pPr>
              <w:spacing w:line="320" w:lineRule="exact"/>
              <w:jc w:val="center"/>
              <w:rPr>
                <w:rFonts w:hint="eastAsia" w:ascii="仿宋_GB2312" w:hAnsi="仿宋_GB2312" w:eastAsia="仿宋_GB2312" w:cs="仿宋_GB2312"/>
                <w:szCs w:val="21"/>
              </w:rPr>
            </w:pPr>
          </w:p>
        </w:tc>
      </w:tr>
      <w:tr w14:paraId="0303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9" w:hRule="atLeast"/>
          <w:tblCellSpacing w:w="0" w:type="dxa"/>
        </w:trPr>
        <w:tc>
          <w:tcPr>
            <w:tcW w:w="1312" w:type="dxa"/>
            <w:noWrap w:val="0"/>
            <w:tcMar>
              <w:top w:w="0" w:type="dxa"/>
              <w:left w:w="105" w:type="dxa"/>
              <w:bottom w:w="0" w:type="dxa"/>
              <w:right w:w="105" w:type="dxa"/>
            </w:tcMar>
            <w:vAlign w:val="center"/>
          </w:tcPr>
          <w:p w14:paraId="5C7B4EAC">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14:paraId="39FEC28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14:paraId="717EC10A">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项目效益：</w:t>
            </w:r>
            <w:r>
              <w:rPr>
                <w:rFonts w:hint="eastAsia" w:ascii="Times New Roman" w:hAnsi="Times New Roman" w:eastAsia="仿宋_GB2312" w:cs="Times New Roman"/>
                <w:sz w:val="20"/>
                <w:szCs w:val="20"/>
                <w:lang w:val="en-US"/>
              </w:rPr>
              <w:t>提升农村义务教育学生营养水平</w:t>
            </w:r>
            <w:r>
              <w:rPr>
                <w:rFonts w:hint="eastAsia" w:ascii="Times New Roman" w:hAnsi="Times New Roman" w:eastAsia="仿宋_GB2312" w:cs="Times New Roman"/>
                <w:sz w:val="20"/>
                <w:szCs w:val="20"/>
                <w:lang w:val="en-US" w:eastAsia="zh-CN"/>
              </w:rPr>
              <w:t>，</w:t>
            </w:r>
            <w:r>
              <w:rPr>
                <w:rFonts w:hint="eastAsia" w:ascii="仿宋_GB2312" w:hAnsi="仿宋_GB2312" w:eastAsia="仿宋_GB2312" w:cs="仿宋_GB2312"/>
                <w:szCs w:val="21"/>
                <w:lang w:eastAsia="zh-CN"/>
              </w:rPr>
              <w:t>计</w:t>
            </w:r>
            <w:r>
              <w:rPr>
                <w:rFonts w:hint="eastAsia" w:ascii="仿宋_GB2312" w:hAnsi="仿宋_GB2312" w:eastAsia="仿宋_GB2312" w:cs="仿宋_GB2312"/>
                <w:szCs w:val="21"/>
                <w:lang w:val="en-US" w:eastAsia="zh-CN"/>
              </w:rPr>
              <w:t>20分</w:t>
            </w:r>
          </w:p>
        </w:tc>
        <w:tc>
          <w:tcPr>
            <w:tcW w:w="832" w:type="dxa"/>
            <w:noWrap w:val="0"/>
            <w:tcMar>
              <w:top w:w="0" w:type="dxa"/>
              <w:left w:w="105" w:type="dxa"/>
              <w:bottom w:w="0" w:type="dxa"/>
              <w:right w:w="105" w:type="dxa"/>
            </w:tcMar>
            <w:vAlign w:val="center"/>
          </w:tcPr>
          <w:p w14:paraId="0759CF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w:t>
            </w:r>
          </w:p>
        </w:tc>
        <w:tc>
          <w:tcPr>
            <w:tcW w:w="870" w:type="dxa"/>
            <w:noWrap w:val="0"/>
            <w:tcMar>
              <w:top w:w="0" w:type="dxa"/>
              <w:left w:w="105" w:type="dxa"/>
              <w:bottom w:w="0" w:type="dxa"/>
              <w:right w:w="105" w:type="dxa"/>
            </w:tcMar>
            <w:vAlign w:val="center"/>
          </w:tcPr>
          <w:p w14:paraId="461F6A4A">
            <w:pPr>
              <w:spacing w:line="320" w:lineRule="exact"/>
              <w:jc w:val="center"/>
              <w:rPr>
                <w:rFonts w:hint="eastAsia" w:ascii="仿宋_GB2312" w:hAnsi="仿宋_GB2312" w:eastAsia="仿宋_GB2312" w:cs="仿宋_GB2312"/>
                <w:szCs w:val="21"/>
              </w:rPr>
            </w:pPr>
          </w:p>
        </w:tc>
      </w:tr>
      <w:tr w14:paraId="083B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31A408D8">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14:paraId="316AA31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3D529B1">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w:t>
            </w:r>
            <w:r>
              <w:rPr>
                <w:rFonts w:hint="eastAsia" w:ascii="仿宋_GB2312" w:hAnsi="仿宋_GB2312" w:eastAsia="仿宋_GB2312" w:cs="仿宋_GB2312"/>
                <w:szCs w:val="21"/>
                <w:lang w:eastAsia="zh-CN"/>
              </w:rPr>
              <w:t>：满意度达到</w:t>
            </w:r>
            <w:r>
              <w:rPr>
                <w:rFonts w:hint="eastAsia" w:ascii="仿宋_GB2312" w:hAnsi="仿宋_GB2312" w:eastAsia="仿宋_GB2312" w:cs="仿宋_GB2312"/>
                <w:szCs w:val="21"/>
                <w:lang w:val="en-US" w:eastAsia="zh-CN"/>
              </w:rPr>
              <w:t>95%</w:t>
            </w:r>
          </w:p>
        </w:tc>
        <w:tc>
          <w:tcPr>
            <w:tcW w:w="832" w:type="dxa"/>
            <w:noWrap w:val="0"/>
            <w:tcMar>
              <w:top w:w="0" w:type="dxa"/>
              <w:left w:w="105" w:type="dxa"/>
              <w:bottom w:w="0" w:type="dxa"/>
              <w:right w:w="105" w:type="dxa"/>
            </w:tcMar>
            <w:vAlign w:val="center"/>
          </w:tcPr>
          <w:p w14:paraId="59B136AF">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1E6EBC2">
            <w:pPr>
              <w:spacing w:line="320" w:lineRule="exact"/>
              <w:jc w:val="center"/>
              <w:rPr>
                <w:rFonts w:hint="eastAsia" w:ascii="仿宋_GB2312" w:hAnsi="仿宋_GB2312" w:eastAsia="仿宋_GB2312" w:cs="仿宋_GB2312"/>
                <w:szCs w:val="21"/>
              </w:rPr>
            </w:pPr>
          </w:p>
        </w:tc>
      </w:tr>
      <w:tr w14:paraId="7F3F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58F6D7F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14:paraId="1EE9B35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3A9F82FE">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1F9F251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97</w:t>
            </w:r>
          </w:p>
        </w:tc>
        <w:tc>
          <w:tcPr>
            <w:tcW w:w="870" w:type="dxa"/>
            <w:noWrap w:val="0"/>
            <w:tcMar>
              <w:top w:w="0" w:type="dxa"/>
              <w:left w:w="105" w:type="dxa"/>
              <w:bottom w:w="0" w:type="dxa"/>
              <w:right w:w="105" w:type="dxa"/>
            </w:tcMar>
            <w:vAlign w:val="center"/>
          </w:tcPr>
          <w:p w14:paraId="58C28A74">
            <w:pPr>
              <w:spacing w:line="320" w:lineRule="exact"/>
              <w:jc w:val="center"/>
              <w:rPr>
                <w:rFonts w:hint="eastAsia" w:ascii="仿宋_GB2312" w:hAnsi="仿宋_GB2312" w:eastAsia="仿宋_GB2312" w:cs="仿宋_GB2312"/>
                <w:szCs w:val="21"/>
              </w:rPr>
            </w:pPr>
          </w:p>
        </w:tc>
      </w:tr>
      <w:tr w14:paraId="0415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14:paraId="53C87769">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14:paraId="380668A7">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14:paraId="0711CB05">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14:paraId="75DA5835">
            <w:pPr>
              <w:spacing w:line="320" w:lineRule="exact"/>
              <w:jc w:val="center"/>
              <w:rPr>
                <w:rFonts w:hint="eastAsia"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14:paraId="31FC7EC2">
            <w:pPr>
              <w:spacing w:line="320" w:lineRule="exact"/>
              <w:jc w:val="center"/>
              <w:rPr>
                <w:rFonts w:hint="eastAsia" w:ascii="仿宋_GB2312" w:hAnsi="仿宋_GB2312" w:eastAsia="仿宋_GB2312" w:cs="仿宋_GB2312"/>
                <w:szCs w:val="21"/>
              </w:rPr>
            </w:pPr>
          </w:p>
        </w:tc>
      </w:tr>
      <w:tr w14:paraId="5B60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14:paraId="67F6913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14:paraId="180F892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73C549C6">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48AB5324">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97</w:t>
            </w:r>
          </w:p>
        </w:tc>
        <w:tc>
          <w:tcPr>
            <w:tcW w:w="870" w:type="dxa"/>
            <w:noWrap w:val="0"/>
            <w:tcMar>
              <w:top w:w="0" w:type="dxa"/>
              <w:left w:w="105" w:type="dxa"/>
              <w:bottom w:w="0" w:type="dxa"/>
              <w:right w:w="105" w:type="dxa"/>
            </w:tcMar>
            <w:vAlign w:val="center"/>
          </w:tcPr>
          <w:p w14:paraId="5E11A21E">
            <w:pPr>
              <w:spacing w:line="320" w:lineRule="exact"/>
              <w:jc w:val="center"/>
              <w:rPr>
                <w:rFonts w:hint="eastAsia" w:ascii="仿宋_GB2312" w:hAnsi="仿宋_GB2312" w:eastAsia="仿宋_GB2312" w:cs="仿宋_GB2312"/>
                <w:szCs w:val="21"/>
              </w:rPr>
            </w:pPr>
          </w:p>
        </w:tc>
      </w:tr>
      <w:tr w14:paraId="7FA82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14:paraId="740447C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14:paraId="27EA8A1D">
            <w:pPr>
              <w:spacing w:line="320" w:lineRule="exact"/>
              <w:jc w:val="center"/>
              <w:rPr>
                <w:rFonts w:hint="eastAsia"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14:paraId="399F122F">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7E02ABB1">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2462DE2B">
      <w:pPr>
        <w:spacing w:line="300" w:lineRule="exact"/>
        <w:rPr>
          <w:rFonts w:ascii="仿宋_GB2312" w:hAnsi="仿宋_GB2312" w:eastAsia="仿宋_GB2312" w:cs="仿宋_GB2312"/>
          <w:sz w:val="22"/>
          <w:szCs w:val="22"/>
        </w:rPr>
      </w:pPr>
      <w:r>
        <w:rPr>
          <w:rFonts w:ascii="仿宋_GB2312" w:hAnsi="仿宋_GB2312" w:eastAsia="仿宋_GB2312" w:cs="仿宋_GB2312"/>
          <w:sz w:val="22"/>
          <w:szCs w:val="22"/>
        </w:rPr>
        <w:t>单位负责人）：</w:t>
      </w:r>
      <w:r>
        <w:rPr>
          <w:rFonts w:hint="eastAsia" w:ascii="仿宋_GB2312" w:hAnsi="仿宋_GB2312" w:eastAsia="仿宋_GB2312" w:cs="仿宋_GB2312"/>
          <w:sz w:val="24"/>
          <w:lang w:eastAsia="zh-CN"/>
        </w:rPr>
        <w:t>申惠文</w:t>
      </w:r>
      <w:r>
        <w:rPr>
          <w:rFonts w:ascii="仿宋_GB2312" w:hAnsi="仿宋_GB2312" w:eastAsia="仿宋_GB2312" w:cs="仿宋_GB2312"/>
          <w:sz w:val="22"/>
          <w:szCs w:val="22"/>
        </w:rPr>
        <w:t xml:space="preserve"> </w:t>
      </w:r>
      <w:r>
        <w:rPr>
          <w:rFonts w:hint="eastAsia" w:ascii="仿宋_GB2312" w:hAnsi="仿宋_GB2312" w:eastAsia="仿宋_GB2312" w:cs="仿宋_GB2312"/>
          <w:sz w:val="22"/>
          <w:szCs w:val="22"/>
        </w:rPr>
        <w:t xml:space="preserve">   </w:t>
      </w:r>
      <w:r>
        <w:rPr>
          <w:rFonts w:ascii="仿宋_GB2312" w:hAnsi="仿宋_GB2312" w:eastAsia="仿宋_GB2312" w:cs="仿宋_GB2312"/>
          <w:sz w:val="22"/>
          <w:szCs w:val="22"/>
        </w:rPr>
        <w:t xml:space="preserve">  项目负责人：</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4"/>
          <w:lang w:eastAsia="zh-CN"/>
        </w:rPr>
        <w:t>申惠文</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2"/>
          <w:szCs w:val="22"/>
          <w:lang w:val="en-US" w:eastAsia="zh-CN"/>
        </w:rPr>
        <w:t xml:space="preserve">   </w:t>
      </w:r>
      <w:r>
        <w:rPr>
          <w:rFonts w:ascii="仿宋_GB2312" w:hAnsi="仿宋_GB2312" w:eastAsia="仿宋_GB2312" w:cs="仿宋_GB2312"/>
          <w:sz w:val="22"/>
          <w:szCs w:val="22"/>
        </w:rPr>
        <w:t>填表日期：</w:t>
      </w:r>
      <w:r>
        <w:rPr>
          <w:rFonts w:hint="eastAsia" w:ascii="仿宋_GB2312" w:hAnsi="仿宋_GB2312" w:eastAsia="仿宋_GB2312" w:cs="仿宋_GB2312"/>
          <w:sz w:val="22"/>
          <w:szCs w:val="22"/>
          <w:lang w:val="en-US" w:eastAsia="zh-CN"/>
        </w:rPr>
        <w:t>2025</w:t>
      </w:r>
      <w:r>
        <w:rPr>
          <w:rFonts w:ascii="仿宋_GB2312" w:hAnsi="仿宋_GB2312" w:eastAsia="仿宋_GB2312" w:cs="仿宋_GB2312"/>
          <w:sz w:val="22"/>
          <w:szCs w:val="22"/>
        </w:rPr>
        <w:t>年</w:t>
      </w:r>
      <w:r>
        <w:rPr>
          <w:rFonts w:hint="eastAsia" w:ascii="仿宋_GB2312" w:hAnsi="仿宋_GB2312" w:eastAsia="仿宋_GB2312" w:cs="仿宋_GB2312"/>
          <w:sz w:val="22"/>
          <w:szCs w:val="22"/>
          <w:lang w:val="en-US" w:eastAsia="zh-CN"/>
        </w:rPr>
        <w:t>4</w:t>
      </w:r>
      <w:r>
        <w:rPr>
          <w:rFonts w:ascii="仿宋_GB2312" w:hAnsi="仿宋_GB2312" w:eastAsia="仿宋_GB2312" w:cs="仿宋_GB2312"/>
          <w:sz w:val="22"/>
          <w:szCs w:val="22"/>
        </w:rPr>
        <w:t>月</w:t>
      </w:r>
      <w:r>
        <w:rPr>
          <w:rFonts w:hint="eastAsia" w:ascii="仿宋_GB2312" w:hAnsi="仿宋_GB2312" w:eastAsia="仿宋_GB2312" w:cs="仿宋_GB2312"/>
          <w:sz w:val="22"/>
          <w:szCs w:val="22"/>
          <w:lang w:val="en-US" w:eastAsia="zh-CN"/>
        </w:rPr>
        <w:t>8</w:t>
      </w:r>
      <w:r>
        <w:rPr>
          <w:rFonts w:ascii="仿宋_GB2312" w:hAnsi="仿宋_GB2312" w:eastAsia="仿宋_GB2312" w:cs="仿宋_GB2312"/>
          <w:sz w:val="22"/>
          <w:szCs w:val="22"/>
        </w:rPr>
        <w:t>日</w:t>
      </w:r>
    </w:p>
    <w:p w14:paraId="6FD6BA47">
      <w:pPr>
        <w:spacing w:before="240" w:line="340" w:lineRule="exact"/>
        <w:jc w:val="left"/>
        <w:rPr>
          <w:b/>
          <w:sz w:val="28"/>
          <w:szCs w:val="28"/>
        </w:rPr>
      </w:pPr>
      <w:r>
        <w:rPr>
          <w:rFonts w:hint="eastAsia" w:ascii="仿宋_GB2312" w:hAnsi="仿宋_GB2312" w:eastAsia="仿宋_GB2312" w:cs="仿宋_GB2312"/>
          <w:b/>
          <w:sz w:val="28"/>
          <w:szCs w:val="28"/>
        </w:rPr>
        <w:t>附件2-3</w:t>
      </w:r>
    </w:p>
    <w:p w14:paraId="0E657D80">
      <w:pPr>
        <w:spacing w:line="600" w:lineRule="exact"/>
        <w:jc w:val="center"/>
        <w:rPr>
          <w:rFonts w:hint="eastAsia" w:ascii="宋体" w:hAnsi="宋体"/>
          <w:b/>
          <w:w w:val="85"/>
          <w:sz w:val="36"/>
          <w:szCs w:val="36"/>
        </w:rPr>
      </w:pPr>
      <w:r>
        <w:rPr>
          <w:rFonts w:hint="eastAsia" w:ascii="宋体" w:hAnsi="宋体" w:eastAsia="方正粗宋简体"/>
          <w:b/>
          <w:w w:val="85"/>
          <w:sz w:val="36"/>
          <w:szCs w:val="36"/>
        </w:rPr>
        <w:t>2024</w:t>
      </w:r>
      <w:r>
        <w:rPr>
          <w:rFonts w:ascii="宋体" w:hAnsi="宋体"/>
          <w:b/>
          <w:w w:val="85"/>
          <w:sz w:val="36"/>
          <w:szCs w:val="36"/>
        </w:rPr>
        <w:t>年度新晃县</w:t>
      </w:r>
      <w:r>
        <w:rPr>
          <w:rFonts w:hint="eastAsia" w:ascii="宋体" w:hAnsi="宋体"/>
          <w:b/>
          <w:w w:val="85"/>
          <w:sz w:val="36"/>
          <w:szCs w:val="36"/>
          <w:lang w:eastAsia="zh-CN"/>
        </w:rPr>
        <w:t>鱼市镇晏家完全小学学校</w:t>
      </w:r>
      <w:r>
        <w:rPr>
          <w:rFonts w:hint="eastAsia" w:ascii="宋体" w:hAnsi="宋体"/>
          <w:b/>
          <w:w w:val="85"/>
          <w:sz w:val="36"/>
          <w:szCs w:val="36"/>
          <w:lang w:val="en-US" w:eastAsia="zh-CN"/>
        </w:rPr>
        <w:t>营养改善计划</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14:paraId="48C65DA2">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cs="宋体"/>
          <w:b/>
          <w:sz w:val="32"/>
          <w:szCs w:val="32"/>
        </w:rPr>
        <w:t>一、基本情况</w:t>
      </w:r>
    </w:p>
    <w:p w14:paraId="63D6294C">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1、通过晃财教转〔2024〕0042号农村义教学生营养改善计划补助资金12万元，全部拨付到位。</w:t>
      </w:r>
    </w:p>
    <w:p w14:paraId="67B10845">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2、资金投入和使用情况</w:t>
      </w:r>
    </w:p>
    <w:p w14:paraId="14EA15E0">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截止2024年12月，我校营养改善计划项目资金12万元全部拨付到位，到位率为100%。</w:t>
      </w:r>
    </w:p>
    <w:p w14:paraId="4D008253">
      <w:pPr>
        <w:spacing w:line="600" w:lineRule="exact"/>
        <w:ind w:firstLine="640" w:firstLineChars="200"/>
        <w:rPr>
          <w:rFonts w:hint="default"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项目资金执行情况：截止2024年12月，本年度支付营养改善计划项目资金8.29万元，执行率为69.08%。</w:t>
      </w:r>
    </w:p>
    <w:p w14:paraId="1FCA70DA">
      <w:pPr>
        <w:pStyle w:val="4"/>
        <w:keepNext w:val="0"/>
        <w:keepLines w:val="0"/>
        <w:pageBreakBefore w:val="0"/>
        <w:widowControl w:val="0"/>
        <w:kinsoku/>
        <w:wordWrap/>
        <w:overflowPunct/>
        <w:topLinePunct w:val="0"/>
        <w:autoSpaceDE/>
        <w:autoSpaceDN/>
        <w:bidi w:val="0"/>
        <w:adjustRightInd/>
        <w:snapToGrid/>
        <w:spacing w:after="0" w:line="480" w:lineRule="auto"/>
        <w:ind w:left="0" w:leftChars="0" w:firstLine="560" w:firstLineChars="0"/>
        <w:jc w:val="left"/>
        <w:rPr>
          <w:rFonts w:hint="eastAsia" w:ascii="仿宋_GB2312" w:hAnsi="仿宋_GB2312" w:eastAsia="仿宋_GB2312" w:cs="仿宋_GB2312"/>
          <w:sz w:val="32"/>
          <w:szCs w:val="32"/>
          <w:lang w:val="en-US" w:eastAsia="zh-CN" w:bidi="ar-SA"/>
        </w:rPr>
      </w:pPr>
      <w:r>
        <w:rPr>
          <w:rFonts w:hint="eastAsia" w:ascii="仿宋" w:hAnsi="仿宋" w:eastAsia="仿宋" w:cs="Times New Roman"/>
          <w:sz w:val="32"/>
          <w:szCs w:val="32"/>
          <w:lang w:val="en-US" w:eastAsia="zh-CN" w:bidi="ar-SA"/>
        </w:rPr>
        <w:t>项目实施情况：</w:t>
      </w:r>
      <w:r>
        <w:rPr>
          <w:rFonts w:hint="default" w:ascii="仿宋" w:hAnsi="仿宋" w:eastAsia="仿宋" w:cs="Times New Roman"/>
          <w:sz w:val="32"/>
          <w:szCs w:val="32"/>
          <w:lang w:eastAsia="zh-CN" w:bidi="ar-SA"/>
        </w:rPr>
        <w:t>在项目实施期内</w:t>
      </w:r>
      <w:r>
        <w:rPr>
          <w:rFonts w:hint="eastAsia" w:ascii="仿宋_GB2312" w:hAnsi="仿宋_GB2312" w:eastAsia="仿宋_GB2312" w:cs="仿宋_GB2312"/>
          <w:sz w:val="32"/>
          <w:szCs w:val="32"/>
          <w:lang w:val="en-US" w:eastAsia="zh-CN"/>
        </w:rPr>
        <w:t>确保了项目的资金充足保障了该年度营养改善计划的顺利开展</w:t>
      </w:r>
      <w:r>
        <w:rPr>
          <w:rFonts w:hint="default" w:ascii="仿宋_GB2312" w:hAnsi="仿宋_GB2312" w:eastAsia="仿宋_GB2312" w:cs="仿宋_GB2312"/>
          <w:sz w:val="32"/>
          <w:szCs w:val="32"/>
          <w:lang w:eastAsia="zh-CN"/>
        </w:rPr>
        <w:t>，完成</w:t>
      </w:r>
      <w:r>
        <w:rPr>
          <w:rFonts w:hint="eastAsia" w:ascii="仿宋" w:hAnsi="仿宋" w:eastAsia="仿宋" w:cs="Times New Roman"/>
          <w:sz w:val="32"/>
          <w:szCs w:val="32"/>
          <w:lang w:val="en-US" w:eastAsia="zh-CN" w:bidi="ar-SA"/>
        </w:rPr>
        <w:t>农村学生生活水平改善，为教育教学提供保障</w:t>
      </w:r>
      <w:r>
        <w:rPr>
          <w:rFonts w:hint="default" w:ascii="仿宋_GB2312" w:hAnsi="仿宋_GB2312" w:eastAsia="仿宋_GB2312" w:cs="仿宋_GB2312"/>
          <w:sz w:val="32"/>
          <w:szCs w:val="32"/>
          <w:lang w:eastAsia="zh-CN"/>
        </w:rPr>
        <w:t>确保了项目的资金充足</w:t>
      </w:r>
      <w:r>
        <w:rPr>
          <w:rFonts w:hint="eastAsia" w:ascii="仿宋_GB2312" w:hAnsi="仿宋_GB2312" w:eastAsia="仿宋_GB2312" w:cs="仿宋_GB2312"/>
          <w:sz w:val="32"/>
          <w:szCs w:val="32"/>
          <w:lang w:val="en-US" w:eastAsia="zh-CN"/>
        </w:rPr>
        <w:t>保障了该年度营养改善计划的顺利开展。</w:t>
      </w:r>
    </w:p>
    <w:p w14:paraId="1D6748EB">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_GB2312" w:hAnsi="仿宋_GB2312" w:eastAsia="仿宋_GB2312" w:cs="仿宋_GB2312"/>
          <w:sz w:val="32"/>
          <w:szCs w:val="32"/>
          <w:lang w:val="en-US" w:eastAsia="zh-CN"/>
        </w:rPr>
        <w:t>项目绩效目标：（</w:t>
      </w:r>
      <w:r>
        <w:rPr>
          <w:rFonts w:hint="eastAsia" w:ascii="仿宋" w:hAnsi="仿宋" w:eastAsia="仿宋" w:cs="Times New Roman"/>
          <w:sz w:val="32"/>
          <w:szCs w:val="32"/>
          <w:lang w:val="en-US" w:eastAsia="zh-CN" w:bidi="ar-SA"/>
        </w:rPr>
        <w:t>1）农村义务教育学生享受营养改善计划，覆盖率达100%，受益对象认定准确性达100%；加大力度宣传营养改善计划政策，提高政策知晓率，受助对象满意度达90%以上；（2）建立完整的资金保障机制，按照营养改善计划补助标准及补助人数足额及时配套各级财政资金；（3）严格审核受益学生的认定流程，加强对营养改善计划受益学生的动态管理；（4）完善项目管理制度建设，规范过程管理，保障食品安全，加强营养健康教育，进一步改善农村义务教育学生的营养状况，提高农村义务教育学生的健康水平。</w:t>
      </w:r>
    </w:p>
    <w:p w14:paraId="16557FE5">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二、绩效评价工作开展情况</w:t>
      </w:r>
    </w:p>
    <w:p w14:paraId="4C1C1BEB">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39AE5631">
      <w:pPr>
        <w:spacing w:line="600" w:lineRule="exact"/>
        <w:ind w:firstLine="640" w:firstLineChars="200"/>
        <w:rPr>
          <w:rFonts w:ascii="仿宋" w:hAnsi="仿宋" w:eastAsia="仿宋"/>
          <w:sz w:val="32"/>
          <w:szCs w:val="32"/>
        </w:rPr>
      </w:pPr>
      <w:r>
        <w:rPr>
          <w:rFonts w:hint="eastAsia" w:ascii="仿宋" w:hAnsi="仿宋" w:eastAsia="仿宋"/>
          <w:sz w:val="32"/>
          <w:szCs w:val="32"/>
        </w:rPr>
        <w:t>绩效评价目的</w:t>
      </w:r>
      <w:r>
        <w:rPr>
          <w:rFonts w:hint="eastAsia" w:ascii="仿宋" w:hAnsi="仿宋" w:eastAsia="仿宋"/>
          <w:sz w:val="32"/>
          <w:szCs w:val="32"/>
          <w:lang w:eastAsia="zh-CN"/>
        </w:rPr>
        <w:t>：</w:t>
      </w:r>
      <w:r>
        <w:rPr>
          <w:rFonts w:hint="eastAsia" w:ascii="仿宋_GB2312" w:hAnsi="仿宋_GB2312" w:eastAsia="仿宋_GB2312" w:cs="仿宋_GB2312"/>
          <w:color w:val="000000"/>
          <w:kern w:val="0"/>
          <w:sz w:val="32"/>
          <w:szCs w:val="32"/>
        </w:rPr>
        <w:t>在项目期内充分合理使用预算，避免出现专项资金滞留及挪用等违规违纪行为。</w:t>
      </w:r>
      <w:r>
        <w:rPr>
          <w:rFonts w:hint="eastAsia" w:ascii="仿宋" w:hAnsi="仿宋" w:eastAsia="仿宋"/>
          <w:sz w:val="32"/>
          <w:szCs w:val="32"/>
        </w:rPr>
        <w:t>通过评价进一步客观地反映政策的执行情况、履职情况、项目实施情况和效果。分析营养改善计划政策的精准有效实施情况、资金到位及管理情况、绩效目标完成情况。为进一步规范财政资金运行和预算绩效管理，完善政策制度，推动部门有效履职，优化资源配置和财政支出结构强化支出责任，提高财政资金的导向作用提供支撑。</w:t>
      </w:r>
    </w:p>
    <w:p w14:paraId="6CD31A82">
      <w:pPr>
        <w:spacing w:line="600" w:lineRule="exact"/>
        <w:ind w:firstLine="640" w:firstLineChars="200"/>
        <w:rPr>
          <w:rFonts w:ascii="仿宋" w:hAnsi="仿宋" w:eastAsia="仿宋"/>
          <w:sz w:val="32"/>
          <w:szCs w:val="32"/>
        </w:rPr>
      </w:pPr>
      <w:r>
        <w:rPr>
          <w:rFonts w:hint="eastAsia" w:ascii="仿宋" w:hAnsi="仿宋" w:eastAsia="仿宋"/>
          <w:sz w:val="32"/>
          <w:szCs w:val="32"/>
        </w:rPr>
        <w:t>评价对象</w:t>
      </w:r>
      <w:r>
        <w:rPr>
          <w:rFonts w:hint="eastAsia" w:ascii="仿宋" w:hAnsi="仿宋" w:eastAsia="仿宋"/>
          <w:sz w:val="32"/>
          <w:szCs w:val="32"/>
          <w:lang w:eastAsia="zh-CN"/>
        </w:rPr>
        <w:t>：</w:t>
      </w:r>
      <w:r>
        <w:rPr>
          <w:rFonts w:hint="eastAsia" w:ascii="仿宋" w:hAnsi="仿宋" w:eastAsia="仿宋" w:cs="Times New Roman"/>
          <w:sz w:val="32"/>
          <w:szCs w:val="32"/>
          <w:lang w:val="en-US" w:eastAsia="zh-CN" w:bidi="ar-SA"/>
        </w:rPr>
        <w:t>营养改善计划</w:t>
      </w:r>
      <w:r>
        <w:rPr>
          <w:rFonts w:hint="eastAsia" w:ascii="仿宋" w:hAnsi="仿宋" w:eastAsia="仿宋"/>
          <w:sz w:val="32"/>
          <w:szCs w:val="32"/>
        </w:rPr>
        <w:t>资金项目。</w:t>
      </w:r>
    </w:p>
    <w:p w14:paraId="500CF2EB">
      <w:pPr>
        <w:numPr>
          <w:ilvl w:val="0"/>
          <w:numId w:val="0"/>
        </w:numPr>
        <w:spacing w:line="560" w:lineRule="exact"/>
        <w:ind w:left="600" w:leftChars="0"/>
        <w:jc w:val="left"/>
        <w:rPr>
          <w:rFonts w:hint="eastAsia" w:ascii="仿宋_GB2312" w:hAnsi="仿宋_GB2312" w:eastAsia="仿宋_GB2312" w:cs="仿宋_GB2312"/>
          <w:sz w:val="32"/>
          <w:szCs w:val="32"/>
        </w:rPr>
      </w:pPr>
      <w:r>
        <w:rPr>
          <w:rFonts w:hint="eastAsia" w:ascii="仿宋" w:hAnsi="仿宋" w:eastAsia="仿宋"/>
          <w:sz w:val="32"/>
          <w:szCs w:val="32"/>
        </w:rPr>
        <w:t>评价范围</w:t>
      </w:r>
      <w:r>
        <w:rPr>
          <w:rFonts w:hint="eastAsia" w:ascii="仿宋" w:hAnsi="仿宋" w:eastAsia="仿宋"/>
          <w:sz w:val="32"/>
          <w:szCs w:val="32"/>
          <w:lang w:eastAsia="zh-CN"/>
        </w:rPr>
        <w:t>：</w:t>
      </w:r>
      <w:r>
        <w:rPr>
          <w:rFonts w:hint="eastAsia" w:ascii="仿宋" w:hAnsi="仿宋" w:eastAsia="仿宋"/>
          <w:sz w:val="32"/>
          <w:szCs w:val="32"/>
        </w:rPr>
        <w:t>包括202</w:t>
      </w:r>
      <w:r>
        <w:rPr>
          <w:rFonts w:hint="eastAsia" w:ascii="仿宋" w:hAnsi="仿宋" w:eastAsia="仿宋"/>
          <w:sz w:val="32"/>
          <w:szCs w:val="32"/>
          <w:lang w:val="en-US" w:eastAsia="zh-CN"/>
        </w:rPr>
        <w:t>4</w:t>
      </w:r>
      <w:r>
        <w:rPr>
          <w:rFonts w:hint="eastAsia" w:ascii="仿宋" w:hAnsi="仿宋" w:eastAsia="仿宋" w:cs="Times New Roman"/>
          <w:sz w:val="32"/>
          <w:szCs w:val="32"/>
          <w:lang w:val="en-US" w:eastAsia="zh-CN" w:bidi="ar-SA"/>
        </w:rPr>
        <w:t>营养改善计划</w:t>
      </w:r>
      <w:r>
        <w:rPr>
          <w:rFonts w:hint="eastAsia" w:ascii="仿宋" w:hAnsi="仿宋" w:eastAsia="仿宋"/>
          <w:sz w:val="32"/>
          <w:szCs w:val="32"/>
          <w:lang w:eastAsia="zh-CN"/>
        </w:rPr>
        <w:t>专项</w:t>
      </w:r>
      <w:r>
        <w:rPr>
          <w:rFonts w:hint="eastAsia" w:ascii="仿宋" w:hAnsi="仿宋" w:eastAsia="仿宋"/>
          <w:sz w:val="32"/>
          <w:szCs w:val="32"/>
        </w:rPr>
        <w:t>资金</w:t>
      </w:r>
      <w:r>
        <w:rPr>
          <w:rFonts w:hint="eastAsia" w:ascii="仿宋" w:hAnsi="仿宋" w:eastAsia="仿宋"/>
          <w:sz w:val="32"/>
          <w:szCs w:val="32"/>
          <w:lang w:val="en-US" w:eastAsia="zh-CN"/>
        </w:rPr>
        <w:t>及项目实施情况</w:t>
      </w:r>
      <w:r>
        <w:rPr>
          <w:rFonts w:hint="eastAsia" w:ascii="仿宋" w:hAnsi="仿宋" w:eastAsia="仿宋"/>
          <w:sz w:val="32"/>
          <w:szCs w:val="32"/>
        </w:rPr>
        <w:t>。</w:t>
      </w:r>
    </w:p>
    <w:p w14:paraId="4A9AC2DC">
      <w:pPr>
        <w:numPr>
          <w:ilvl w:val="0"/>
          <w:numId w:val="1"/>
        </w:numPr>
        <w:spacing w:line="560" w:lineRule="exact"/>
        <w:ind w:left="-40" w:leftChars="0" w:firstLine="64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绩效评价原则、评价指标体系（附表说明）、评价方法、评价标准等。</w:t>
      </w:r>
    </w:p>
    <w:p w14:paraId="4E193FA5">
      <w:pPr>
        <w:spacing w:line="600" w:lineRule="exact"/>
        <w:ind w:firstLine="640" w:firstLineChars="200"/>
        <w:rPr>
          <w:rFonts w:ascii="仿宋" w:hAnsi="仿宋" w:eastAsia="仿宋"/>
          <w:sz w:val="32"/>
          <w:szCs w:val="32"/>
        </w:rPr>
      </w:pPr>
      <w:r>
        <w:rPr>
          <w:rFonts w:hint="eastAsia" w:ascii="仿宋" w:hAnsi="仿宋" w:eastAsia="仿宋"/>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14:paraId="5E9EE58B">
      <w:pPr>
        <w:spacing w:line="600" w:lineRule="exact"/>
        <w:ind w:firstLine="640" w:firstLineChars="200"/>
        <w:rPr>
          <w:rFonts w:hint="eastAsia" w:ascii="仿宋_GB2312" w:hAnsi="仿宋_GB2312" w:eastAsia="仿宋_GB2312" w:cs="仿宋_GB2312"/>
          <w:sz w:val="32"/>
          <w:szCs w:val="32"/>
        </w:rPr>
      </w:pPr>
      <w:r>
        <w:rPr>
          <w:rFonts w:hint="eastAsia" w:ascii="仿宋" w:hAnsi="仿宋" w:eastAsia="仿宋"/>
          <w:sz w:val="32"/>
          <w:szCs w:val="32"/>
        </w:rPr>
        <w:t>（三）绩效评价工作过程：认真参照项目绩效评分标准，对执行情况逐项进行量化评分。</w:t>
      </w:r>
    </w:p>
    <w:p w14:paraId="3E28F9F8">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三、综合评价情况及评价结论（附相关评分表）</w:t>
      </w:r>
    </w:p>
    <w:p w14:paraId="012884C6">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根据《湖南省预算支出绩效评价管理办法》（湘财绩〔2020〕7号）和《新晃侗族自治县财政局关于开展202</w:t>
      </w:r>
      <w:r>
        <w:rPr>
          <w:rFonts w:hint="eastAsia" w:ascii="仿宋" w:hAnsi="仿宋" w:eastAsia="仿宋"/>
          <w:sz w:val="32"/>
          <w:szCs w:val="32"/>
          <w:lang w:val="en-US" w:eastAsia="zh-CN"/>
        </w:rPr>
        <w:t>4</w:t>
      </w:r>
      <w:r>
        <w:rPr>
          <w:rFonts w:hint="eastAsia" w:ascii="仿宋" w:hAnsi="仿宋" w:eastAsia="仿宋"/>
          <w:sz w:val="32"/>
          <w:szCs w:val="32"/>
        </w:rPr>
        <w:t>年度部门预算支出绩效自评工作的通知》（晃财绩〔202</w:t>
      </w:r>
      <w:r>
        <w:rPr>
          <w:rFonts w:hint="eastAsia" w:ascii="仿宋" w:hAnsi="仿宋" w:eastAsia="仿宋"/>
          <w:sz w:val="32"/>
          <w:szCs w:val="32"/>
          <w:lang w:val="en-US" w:eastAsia="zh-CN"/>
        </w:rPr>
        <w:t>5</w:t>
      </w:r>
      <w:r>
        <w:rPr>
          <w:rFonts w:hint="eastAsia" w:ascii="仿宋" w:hAnsi="仿宋" w:eastAsia="仿宋"/>
          <w:sz w:val="32"/>
          <w:szCs w:val="32"/>
        </w:rPr>
        <w:t>〕</w:t>
      </w:r>
      <w:r>
        <w:rPr>
          <w:rFonts w:hint="eastAsia" w:ascii="仿宋" w:hAnsi="仿宋" w:eastAsia="仿宋"/>
          <w:sz w:val="32"/>
          <w:szCs w:val="32"/>
          <w:lang w:val="en-US" w:eastAsia="zh-CN"/>
        </w:rPr>
        <w:t>1</w:t>
      </w:r>
      <w:r>
        <w:rPr>
          <w:rFonts w:hint="eastAsia" w:ascii="仿宋" w:hAnsi="仿宋" w:eastAsia="仿宋"/>
          <w:sz w:val="32"/>
          <w:szCs w:val="32"/>
        </w:rPr>
        <w:t>号）等文件要求，我</w:t>
      </w:r>
      <w:r>
        <w:rPr>
          <w:rFonts w:hint="eastAsia" w:ascii="仿宋" w:hAnsi="仿宋" w:eastAsia="仿宋"/>
          <w:sz w:val="32"/>
          <w:szCs w:val="32"/>
          <w:lang w:val="en-US" w:eastAsia="zh-CN"/>
        </w:rPr>
        <w:t>校</w:t>
      </w:r>
      <w:r>
        <w:rPr>
          <w:rFonts w:hint="eastAsia" w:ascii="仿宋" w:hAnsi="仿宋" w:eastAsia="仿宋"/>
          <w:sz w:val="32"/>
          <w:szCs w:val="32"/>
        </w:rPr>
        <w:t>成立了绩效自评工作小组，对</w:t>
      </w:r>
      <w:r>
        <w:rPr>
          <w:rFonts w:hint="eastAsia" w:ascii="仿宋" w:hAnsi="仿宋" w:eastAsia="仿宋" w:cs="Times New Roman"/>
          <w:sz w:val="32"/>
          <w:szCs w:val="32"/>
          <w:lang w:val="en-US" w:eastAsia="zh-CN" w:bidi="ar-SA"/>
        </w:rPr>
        <w:t>营养改善计划</w:t>
      </w:r>
      <w:r>
        <w:rPr>
          <w:rFonts w:hint="eastAsia" w:ascii="仿宋" w:hAnsi="仿宋" w:eastAsia="仿宋"/>
          <w:sz w:val="32"/>
          <w:szCs w:val="32"/>
        </w:rPr>
        <w:t>项目支出开展了绩效自评工作。组织人员收集项目资料，检查会计凭证，在规定的时间内，对项目的实施过程进行了全面、科学、细致的评价。</w:t>
      </w:r>
    </w:p>
    <w:p w14:paraId="3AA99CBF">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本次自评，对照项目绩效目标，从项目预算编制、项目组织管理、资金使用、项目产出、项目效益、满意度等方面逐一分析评价，总体自评得分</w:t>
      </w:r>
      <w:r>
        <w:rPr>
          <w:rFonts w:hint="eastAsia" w:ascii="仿宋" w:hAnsi="仿宋" w:eastAsia="仿宋"/>
          <w:sz w:val="32"/>
          <w:szCs w:val="32"/>
          <w:lang w:val="en-US" w:eastAsia="zh-CN"/>
        </w:rPr>
        <w:t>90</w:t>
      </w:r>
      <w:r>
        <w:rPr>
          <w:rFonts w:hint="eastAsia" w:ascii="仿宋" w:hAnsi="仿宋" w:eastAsia="仿宋"/>
          <w:sz w:val="32"/>
          <w:szCs w:val="32"/>
        </w:rPr>
        <w:t>分，绩效评价等级为“优”。</w:t>
      </w:r>
    </w:p>
    <w:p w14:paraId="20E05BE6">
      <w:pPr>
        <w:spacing w:line="560" w:lineRule="exact"/>
        <w:ind w:firstLine="643" w:firstLineChars="200"/>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四、绩效评价指标分析</w:t>
      </w:r>
    </w:p>
    <w:p w14:paraId="4D09707E">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（一）项目决策情况</w:t>
      </w:r>
      <w:r>
        <w:rPr>
          <w:rFonts w:hint="eastAsia" w:ascii="仿宋" w:hAnsi="仿宋" w:eastAsia="仿宋"/>
          <w:sz w:val="32"/>
          <w:szCs w:val="32"/>
          <w:lang w:eastAsia="zh-CN"/>
        </w:rPr>
        <w:t>：</w:t>
      </w:r>
      <w:r>
        <w:rPr>
          <w:rFonts w:hint="eastAsia" w:ascii="仿宋" w:hAnsi="仿宋" w:eastAsia="仿宋"/>
          <w:sz w:val="32"/>
          <w:szCs w:val="32"/>
        </w:rPr>
        <w:t>通过</w:t>
      </w:r>
      <w:r>
        <w:rPr>
          <w:rFonts w:hint="eastAsia" w:ascii="仿宋" w:hAnsi="仿宋" w:eastAsia="仿宋"/>
          <w:sz w:val="32"/>
          <w:szCs w:val="32"/>
          <w:lang w:eastAsia="zh-CN"/>
        </w:rPr>
        <w:t>晃财教转〔2024〕0042号在年初对该项专项经费认真列好支出预算，严格按照专项资金管理制度保证资金及时足额发放到位。</w:t>
      </w:r>
    </w:p>
    <w:p w14:paraId="2675454A">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（二）项目过程情况</w:t>
      </w:r>
      <w:r>
        <w:rPr>
          <w:rFonts w:hint="eastAsia" w:ascii="仿宋" w:hAnsi="仿宋" w:eastAsia="仿宋"/>
          <w:sz w:val="32"/>
          <w:szCs w:val="32"/>
          <w:lang w:eastAsia="zh-CN"/>
        </w:rPr>
        <w:t>：</w:t>
      </w:r>
      <w:r>
        <w:rPr>
          <w:rFonts w:hint="eastAsia" w:ascii="仿宋" w:hAnsi="仿宋" w:eastAsia="仿宋"/>
          <w:sz w:val="32"/>
          <w:szCs w:val="32"/>
        </w:rPr>
        <w:t>此项项目资金严格按照专项资金管理办法，按规定控制资金使用范围。资金使用符合项目预算批复或合同规定用途，不存在截留、挤占、挪用、虚列支出、违规使用等情况。</w:t>
      </w:r>
    </w:p>
    <w:p w14:paraId="29CC1504">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（三）项目产出情况</w:t>
      </w:r>
      <w:r>
        <w:rPr>
          <w:rFonts w:hint="eastAsia" w:ascii="仿宋" w:hAnsi="仿宋" w:eastAsia="仿宋"/>
          <w:sz w:val="32"/>
          <w:szCs w:val="32"/>
          <w:lang w:eastAsia="zh-CN"/>
        </w:rPr>
        <w:t>：</w:t>
      </w:r>
    </w:p>
    <w:p w14:paraId="69A46714">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sz w:val="32"/>
          <w:szCs w:val="32"/>
          <w:lang w:eastAsia="zh-CN"/>
        </w:rPr>
        <w:t>产出目标：</w:t>
      </w:r>
      <w:r>
        <w:rPr>
          <w:rFonts w:hint="eastAsia" w:ascii="仿宋" w:hAnsi="仿宋" w:eastAsia="仿宋" w:cs="Times New Roman"/>
          <w:sz w:val="32"/>
          <w:szCs w:val="32"/>
          <w:lang w:val="en-US" w:eastAsia="zh-CN" w:bidi="ar-SA"/>
        </w:rPr>
        <w:t>进一步改善农村义务教育学生的营养状况，提高农村义务教育学生的健康水平。</w:t>
      </w:r>
    </w:p>
    <w:p w14:paraId="6F991527">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产出数量：受益学生覆盖率方面。根据实地调研情况统计，202</w:t>
      </w:r>
      <w:r>
        <w:rPr>
          <w:rFonts w:hint="eastAsia" w:ascii="仿宋" w:hAnsi="仿宋" w:eastAsia="仿宋"/>
          <w:sz w:val="32"/>
          <w:szCs w:val="32"/>
          <w:lang w:val="en-US" w:eastAsia="zh-CN"/>
        </w:rPr>
        <w:t>4</w:t>
      </w:r>
      <w:r>
        <w:rPr>
          <w:rFonts w:hint="eastAsia" w:ascii="仿宋" w:hAnsi="仿宋" w:eastAsia="仿宋"/>
          <w:sz w:val="32"/>
          <w:szCs w:val="32"/>
          <w:lang w:eastAsia="zh-CN"/>
        </w:rPr>
        <w:t>年受益学生覆盖率为</w:t>
      </w:r>
      <w:r>
        <w:rPr>
          <w:rFonts w:hint="eastAsia" w:ascii="仿宋" w:hAnsi="仿宋" w:eastAsia="仿宋"/>
          <w:sz w:val="32"/>
          <w:szCs w:val="32"/>
          <w:lang w:val="en-US" w:eastAsia="zh-CN"/>
        </w:rPr>
        <w:t>100</w:t>
      </w:r>
      <w:r>
        <w:rPr>
          <w:rFonts w:hint="eastAsia" w:ascii="仿宋" w:hAnsi="仿宋" w:eastAsia="仿宋"/>
          <w:sz w:val="32"/>
          <w:szCs w:val="32"/>
          <w:lang w:eastAsia="zh-CN"/>
        </w:rPr>
        <w:t>%。</w:t>
      </w:r>
    </w:p>
    <w:p w14:paraId="3FB84485">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sz w:val="32"/>
          <w:szCs w:val="32"/>
          <w:lang w:eastAsia="zh-CN"/>
        </w:rPr>
        <w:t>产出时效：</w:t>
      </w:r>
      <w:r>
        <w:rPr>
          <w:rFonts w:hint="eastAsia" w:ascii="仿宋" w:hAnsi="仿宋" w:eastAsia="仿宋"/>
          <w:sz w:val="32"/>
          <w:szCs w:val="32"/>
          <w:lang w:val="en-US" w:eastAsia="zh-CN"/>
        </w:rPr>
        <w:t>完成本年营改计划，提升</w:t>
      </w:r>
      <w:r>
        <w:rPr>
          <w:rFonts w:hint="eastAsia" w:ascii="仿宋" w:hAnsi="仿宋" w:eastAsia="仿宋" w:cs="Times New Roman"/>
          <w:sz w:val="32"/>
          <w:szCs w:val="32"/>
          <w:lang w:val="en-US" w:eastAsia="zh-CN" w:bidi="ar-SA"/>
        </w:rPr>
        <w:t>农村义务教育学生的健康水平。</w:t>
      </w:r>
    </w:p>
    <w:p w14:paraId="63F3A2BF">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成本控制：</w:t>
      </w:r>
      <w:r>
        <w:rPr>
          <w:rFonts w:hint="eastAsia" w:ascii="仿宋" w:hAnsi="仿宋" w:eastAsia="仿宋" w:cs="Times New Roman"/>
          <w:sz w:val="32"/>
          <w:szCs w:val="32"/>
          <w:lang w:val="en-US" w:eastAsia="zh-CN" w:bidi="ar-SA"/>
        </w:rPr>
        <w:t>营养改善计划</w:t>
      </w:r>
      <w:r>
        <w:rPr>
          <w:rFonts w:hint="eastAsia" w:ascii="仿宋" w:hAnsi="仿宋" w:eastAsia="仿宋"/>
          <w:sz w:val="32"/>
          <w:szCs w:val="32"/>
          <w:lang w:val="en-US" w:eastAsia="zh-CN"/>
        </w:rPr>
        <w:t>12万元，按照控制数严格执行。</w:t>
      </w:r>
    </w:p>
    <w:p w14:paraId="4EB2B47B">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（四）项目效益情况</w:t>
      </w:r>
      <w:r>
        <w:rPr>
          <w:rFonts w:hint="eastAsia" w:ascii="仿宋" w:hAnsi="仿宋" w:eastAsia="仿宋"/>
          <w:sz w:val="32"/>
          <w:szCs w:val="32"/>
          <w:lang w:eastAsia="zh-CN"/>
        </w:rPr>
        <w:t>：</w:t>
      </w:r>
      <w:r>
        <w:rPr>
          <w:rFonts w:hint="eastAsia" w:ascii="仿宋" w:hAnsi="仿宋" w:eastAsia="仿宋"/>
          <w:sz w:val="32"/>
          <w:szCs w:val="32"/>
          <w:lang w:val="en-US" w:eastAsia="zh-CN"/>
        </w:rPr>
        <w:t>减轻受益学生家庭经济负担方面。根据调查问卷统计，认为享受营养改善计划对减轻家庭经济负担“有帮助”。良好饮食习惯养成方面。结合实地调研和调查问卷结果，通过营养改善计划的实施，在帮助受益学生养成按时吃饭、不浪费粮食、不挑食等饮食习惯方面有促进作用。</w:t>
      </w:r>
    </w:p>
    <w:p w14:paraId="330D4496">
      <w:pPr>
        <w:spacing w:line="560" w:lineRule="exact"/>
        <w:ind w:left="0" w:leftChars="0" w:firstLine="643" w:firstLineChars="200"/>
        <w:jc w:val="left"/>
        <w:rPr>
          <w:rFonts w:hint="eastAsia" w:ascii="宋体" w:hAnsi="宋体" w:cs="宋体"/>
          <w:b/>
          <w:sz w:val="32"/>
          <w:szCs w:val="32"/>
        </w:rPr>
      </w:pPr>
      <w:r>
        <w:rPr>
          <w:rFonts w:hint="eastAsia" w:ascii="宋体" w:hAnsi="宋体" w:cs="宋体"/>
          <w:b/>
          <w:sz w:val="32"/>
          <w:szCs w:val="32"/>
        </w:rPr>
        <w:t>五、主要经验及做法、存在的问题及原因分析</w:t>
      </w:r>
    </w:p>
    <w:p w14:paraId="13F65208">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sz w:val="32"/>
          <w:szCs w:val="32"/>
          <w:lang w:eastAsia="zh-CN"/>
        </w:rPr>
        <w:t>经验及做法：专款专用，保障</w:t>
      </w:r>
      <w:r>
        <w:rPr>
          <w:rFonts w:hint="eastAsia" w:ascii="仿宋" w:hAnsi="仿宋" w:eastAsia="仿宋" w:cs="Times New Roman"/>
          <w:sz w:val="32"/>
          <w:szCs w:val="32"/>
          <w:lang w:val="en-US" w:eastAsia="zh-CN" w:bidi="ar-SA"/>
        </w:rPr>
        <w:t>营养改善计划</w:t>
      </w:r>
      <w:r>
        <w:rPr>
          <w:rFonts w:hint="eastAsia" w:ascii="仿宋" w:hAnsi="仿宋" w:eastAsia="仿宋"/>
          <w:sz w:val="32"/>
          <w:szCs w:val="32"/>
          <w:lang w:eastAsia="zh-CN"/>
        </w:rPr>
        <w:t>发放到位，</w:t>
      </w:r>
      <w:r>
        <w:rPr>
          <w:rFonts w:hint="eastAsia" w:ascii="仿宋" w:hAnsi="仿宋" w:eastAsia="仿宋" w:cs="Times New Roman"/>
          <w:sz w:val="32"/>
          <w:szCs w:val="32"/>
          <w:lang w:val="en-US" w:eastAsia="zh-CN" w:bidi="ar-SA"/>
        </w:rPr>
        <w:t>提高农村义务教育学生的健康水平。</w:t>
      </w:r>
    </w:p>
    <w:p w14:paraId="0286D0A0">
      <w:pPr>
        <w:numPr>
          <w:ilvl w:val="0"/>
          <w:numId w:val="2"/>
        </w:numPr>
        <w:spacing w:line="560" w:lineRule="exact"/>
        <w:ind w:leftChars="200" w:firstLine="321" w:firstLineChars="100"/>
        <w:jc w:val="left"/>
        <w:rPr>
          <w:rFonts w:hint="eastAsia" w:ascii="宋体" w:hAnsi="宋体" w:cs="宋体"/>
          <w:b/>
          <w:sz w:val="32"/>
          <w:szCs w:val="32"/>
        </w:rPr>
      </w:pPr>
      <w:r>
        <w:rPr>
          <w:rFonts w:hint="eastAsia" w:ascii="宋体" w:hAnsi="宋体" w:cs="宋体"/>
          <w:b/>
          <w:sz w:val="32"/>
          <w:szCs w:val="32"/>
        </w:rPr>
        <w:t>有关建议</w:t>
      </w:r>
    </w:p>
    <w:p w14:paraId="37D92EBA">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（一）完善资金测算，细化项目实施内容</w:t>
      </w:r>
    </w:p>
    <w:p w14:paraId="25902FAA">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建议坚持以需求为导向，根据具体资金支出方向，结合项目性质和特点，进一步完善项目完善资金测算，确保资金发挥效益。二是建议根据项目实施总体目标，结合项目具体实施内容和资金支出方向，细化项目资金支出，科学制定项目实施方案，确保资金的有效利用和最大化效益。</w:t>
      </w:r>
    </w:p>
    <w:p w14:paraId="027B9D51">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（二）严格执行项目管理制度，提高管理规范</w:t>
      </w:r>
    </w:p>
    <w:p w14:paraId="3F4F74C3">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议以过程监管为着力点，进一步加强项目实施管理。建议主管部门及时更新资金管理办法，提高资金使用效益；建议主管部门及项目实施单位健全项目建设管理长效机制，完善项目实施过程中涉及的人力、档案建设等相关制度体系，提高制度建设的完备性，确保项目实施内容完整、程序合规、资金使用规范等。建议每年及时组织人员督促该项目及时归档档案资料。</w:t>
      </w:r>
    </w:p>
    <w:p w14:paraId="6CB39C05">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（三）加强项目绩效管理，夯实绩效管理基础</w:t>
      </w:r>
    </w:p>
    <w:p w14:paraId="586BB245">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提高绩效评价的重视程度。加强预算部门绩效意识，提高财政项目资金使用绩效和科学化精细化管理水平。建立健全绩效管理办法，进一步明确部门单位预算绩效管理责任，为全面推进绩效管理工作提供制度支撑。二是提高预算绩效管理的精准度。在设定预算绩效指标时，对绩效目标完整性、合理性、针对性、可操作性进行评估，结合项目的具体情况进行细化，持续完善财政绩效评价指标体系，充分体现项目的数量、质量、时效、成本等关键指标，并使指标设定更加精确、可衡量。三是扎实做好绩效管理基础工作，严格按照规范实施部门自评，确保绩效自评工作质量。结合年度阶段性工作计划和预算绩效管理要求，组织预算绩效政策业务培训，增强业务人员实操能力，提升绩效管理业务水平。</w:t>
      </w:r>
    </w:p>
    <w:p w14:paraId="4244EB40">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七、其他需要说明的问题</w:t>
      </w:r>
    </w:p>
    <w:p w14:paraId="14661803">
      <w:pPr>
        <w:pStyle w:val="3"/>
        <w:widowControl w:val="0"/>
        <w:spacing w:before="0" w:beforeAutospacing="0" w:after="0" w:afterAutospacing="0"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6D1F85C4">
      <w:pPr>
        <w:pStyle w:val="3"/>
        <w:widowControl w:val="0"/>
        <w:spacing w:before="0" w:beforeAutospacing="0" w:after="0" w:afterAutospacing="0" w:line="520" w:lineRule="exact"/>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新晃侗族自治县</w:t>
      </w:r>
      <w:r>
        <w:rPr>
          <w:rFonts w:hint="eastAsia" w:ascii="仿宋_GB2312" w:hAnsi="仿宋_GB2312" w:eastAsia="仿宋_GB2312" w:cs="仿宋_GB2312"/>
          <w:sz w:val="32"/>
          <w:szCs w:val="32"/>
          <w:lang w:eastAsia="zh-CN"/>
        </w:rPr>
        <w:t>鱼市镇晏家完全小学学校</w:t>
      </w:r>
      <w:r>
        <w:rPr>
          <w:rFonts w:hint="eastAsia" w:ascii="仿宋_GB2312" w:hAnsi="仿宋_GB2312" w:eastAsia="仿宋_GB2312" w:cs="仿宋_GB2312"/>
          <w:sz w:val="32"/>
          <w:szCs w:val="32"/>
        </w:rPr>
        <w:t xml:space="preserve">                </w:t>
      </w:r>
    </w:p>
    <w:p w14:paraId="44D6DB79">
      <w:pPr>
        <w:ind w:firstLine="5440" w:firstLineChars="1700"/>
        <w:jc w:val="right"/>
        <w:rPr>
          <w:rFonts w:eastAsia="仿宋_GB2312"/>
          <w:sz w:val="24"/>
        </w:rPr>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8</w:t>
      </w:r>
      <w:bookmarkStart w:id="0" w:name="_GoBack"/>
      <w:bookmarkEnd w:id="0"/>
      <w:r>
        <w:rPr>
          <w:rFonts w:hint="eastAsia" w:ascii="仿宋_GB2312" w:hAnsi="仿宋_GB2312" w:eastAsia="仿宋_GB2312" w:cs="仿宋_GB2312"/>
          <w:sz w:val="32"/>
          <w:szCs w:val="32"/>
        </w:rPr>
        <w:t>日</w:t>
      </w:r>
    </w:p>
    <w:p w14:paraId="005E057A">
      <w:pPr>
        <w:ind w:firstLine="6080" w:firstLineChars="1900"/>
        <w:jc w:val="right"/>
        <w:rPr>
          <w:rFonts w:hint="eastAsia" w:ascii="仿宋_GB2312" w:hAnsi="仿宋_GB2312" w:eastAsia="仿宋_GB2312" w:cs="仿宋_GB2312"/>
          <w:sz w:val="32"/>
          <w:szCs w:val="32"/>
        </w:rPr>
      </w:pPr>
    </w:p>
    <w:p w14:paraId="1811C72F">
      <w:pPr>
        <w:ind w:firstLine="6080" w:firstLineChars="1900"/>
        <w:rPr>
          <w:rFonts w:hint="eastAsia" w:ascii="仿宋_GB2312" w:hAnsi="仿宋_GB2312" w:eastAsia="仿宋_GB2312" w:cs="仿宋_GB2312"/>
          <w:sz w:val="32"/>
          <w:szCs w:val="32"/>
        </w:rPr>
      </w:pPr>
    </w:p>
    <w:p w14:paraId="7B095F44">
      <w:pPr>
        <w:ind w:firstLine="6080" w:firstLineChars="1900"/>
        <w:rPr>
          <w:rFonts w:hint="eastAsia" w:ascii="仿宋_GB2312" w:hAnsi="仿宋_GB2312" w:eastAsia="仿宋_GB2312" w:cs="仿宋_GB2312"/>
          <w:sz w:val="32"/>
          <w:szCs w:val="32"/>
        </w:rPr>
      </w:pPr>
    </w:p>
    <w:p w14:paraId="6FDB48FA">
      <w:pPr>
        <w:ind w:firstLine="6080" w:firstLineChars="1900"/>
        <w:rPr>
          <w:rFonts w:hint="eastAsia" w:ascii="仿宋_GB2312" w:hAnsi="仿宋_GB2312" w:eastAsia="仿宋_GB2312" w:cs="仿宋_GB2312"/>
          <w:sz w:val="32"/>
          <w:szCs w:val="32"/>
        </w:rPr>
      </w:pPr>
    </w:p>
    <w:p w14:paraId="536965B5">
      <w:pPr>
        <w:ind w:firstLine="6080" w:firstLineChars="1900"/>
        <w:rPr>
          <w:rFonts w:hint="eastAsia" w:ascii="仿宋_GB2312" w:hAnsi="仿宋_GB2312" w:eastAsia="仿宋_GB2312" w:cs="仿宋_GB2312"/>
          <w:sz w:val="32"/>
          <w:szCs w:val="32"/>
        </w:rPr>
      </w:pPr>
    </w:p>
    <w:p w14:paraId="3593B3AC">
      <w:pPr>
        <w:ind w:firstLine="6080" w:firstLineChars="1900"/>
        <w:rPr>
          <w:rFonts w:hint="eastAsia" w:ascii="仿宋_GB2312" w:hAnsi="仿宋_GB2312" w:eastAsia="仿宋_GB2312" w:cs="仿宋_GB2312"/>
          <w:sz w:val="32"/>
          <w:szCs w:val="32"/>
        </w:rPr>
      </w:pPr>
    </w:p>
    <w:p w14:paraId="701CE88C">
      <w:pPr>
        <w:ind w:firstLine="6080" w:firstLineChars="1900"/>
        <w:rPr>
          <w:rFonts w:hint="eastAsia" w:ascii="仿宋_GB2312" w:hAnsi="仿宋_GB2312" w:eastAsia="仿宋_GB2312" w:cs="仿宋_GB2312"/>
          <w:sz w:val="32"/>
          <w:szCs w:val="32"/>
        </w:rPr>
      </w:pPr>
    </w:p>
    <w:p w14:paraId="29D8FC75">
      <w:pPr>
        <w:spacing w:line="320" w:lineRule="exact"/>
        <w:ind w:left="0"/>
        <w:jc w:val="left"/>
        <w:rPr>
          <w:rFonts w:hint="eastAsia" w:ascii="仿宋_GB2312" w:hAnsi="仿宋_GB2312" w:eastAsia="仿宋_GB2312" w:cs="仿宋_GB2312"/>
          <w:b/>
          <w:sz w:val="28"/>
          <w:szCs w:val="28"/>
        </w:rPr>
      </w:pPr>
    </w:p>
    <w:p w14:paraId="32C414E0">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4DE3B5A5">
      <w:pPr>
        <w:spacing w:line="320" w:lineRule="exact"/>
        <w:ind w:left="0"/>
        <w:jc w:val="left"/>
        <w:rPr>
          <w:rFonts w:hint="eastAsia" w:ascii="仿宋_GB2312" w:hAnsi="仿宋_GB2312" w:eastAsia="仿宋_GB2312" w:cs="仿宋_GB2312"/>
          <w:b/>
          <w:sz w:val="24"/>
        </w:rPr>
      </w:pPr>
      <w:r>
        <w:rPr>
          <w:rFonts w:hint="eastAsia" w:ascii="仿宋_GB2312" w:hAnsi="仿宋_GB2312" w:eastAsia="仿宋_GB2312" w:cs="仿宋_GB2312"/>
          <w:b/>
          <w:sz w:val="28"/>
          <w:szCs w:val="28"/>
        </w:rPr>
        <w:t>附件2-1</w:t>
      </w:r>
    </w:p>
    <w:p w14:paraId="42B5B615">
      <w:pPr>
        <w:spacing w:line="800" w:lineRule="exact"/>
        <w:jc w:val="center"/>
        <w:rPr>
          <w:rFonts w:hint="eastAsia" w:ascii="宋体" w:hAnsi="宋体"/>
          <w:b/>
          <w:w w:val="90"/>
          <w:sz w:val="36"/>
          <w:szCs w:val="36"/>
        </w:rPr>
      </w:pPr>
      <w:r>
        <w:rPr>
          <w:rFonts w:hint="eastAsia" w:ascii="宋体" w:hAnsi="宋体"/>
          <w:b/>
          <w:w w:val="90"/>
          <w:sz w:val="36"/>
          <w:szCs w:val="36"/>
        </w:rPr>
        <w:t>2024年度新晃县项目绩效自评计分标准</w:t>
      </w:r>
    </w:p>
    <w:tbl>
      <w:tblPr>
        <w:tblStyle w:val="5"/>
        <w:tblW w:w="8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727"/>
        <w:gridCol w:w="6770"/>
      </w:tblGrid>
      <w:tr w14:paraId="5A68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trPr>
        <w:tc>
          <w:tcPr>
            <w:tcW w:w="1321" w:type="dxa"/>
            <w:noWrap w:val="0"/>
            <w:vAlign w:val="center"/>
          </w:tcPr>
          <w:p w14:paraId="67611D3E">
            <w:pPr>
              <w:spacing w:line="340" w:lineRule="exact"/>
              <w:jc w:val="center"/>
              <w:rPr>
                <w:rFonts w:eastAsia="仿宋_GB2312"/>
                <w:sz w:val="24"/>
              </w:rPr>
            </w:pPr>
            <w:r>
              <w:rPr>
                <w:rFonts w:eastAsia="仿宋_GB2312"/>
                <w:sz w:val="24"/>
              </w:rPr>
              <w:t>评价内容</w:t>
            </w:r>
          </w:p>
        </w:tc>
        <w:tc>
          <w:tcPr>
            <w:tcW w:w="727" w:type="dxa"/>
            <w:noWrap w:val="0"/>
            <w:vAlign w:val="center"/>
          </w:tcPr>
          <w:p w14:paraId="11ECD454">
            <w:pPr>
              <w:spacing w:line="340" w:lineRule="exact"/>
              <w:jc w:val="center"/>
              <w:rPr>
                <w:rFonts w:eastAsia="仿宋_GB2312"/>
                <w:sz w:val="24"/>
              </w:rPr>
            </w:pPr>
            <w:r>
              <w:rPr>
                <w:rFonts w:eastAsia="仿宋_GB2312"/>
                <w:sz w:val="24"/>
              </w:rPr>
              <w:t>分值</w:t>
            </w:r>
          </w:p>
        </w:tc>
        <w:tc>
          <w:tcPr>
            <w:tcW w:w="6770" w:type="dxa"/>
            <w:noWrap w:val="0"/>
            <w:vAlign w:val="center"/>
          </w:tcPr>
          <w:p w14:paraId="6D5961B2">
            <w:pPr>
              <w:spacing w:line="340" w:lineRule="exact"/>
              <w:jc w:val="center"/>
              <w:rPr>
                <w:rFonts w:eastAsia="仿宋_GB2312"/>
                <w:sz w:val="24"/>
              </w:rPr>
            </w:pPr>
            <w:r>
              <w:rPr>
                <w:rFonts w:eastAsia="仿宋_GB2312"/>
                <w:sz w:val="24"/>
              </w:rPr>
              <w:t>评分标准</w:t>
            </w:r>
          </w:p>
        </w:tc>
      </w:tr>
      <w:tr w14:paraId="1065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1" w:type="dxa"/>
            <w:noWrap w:val="0"/>
            <w:vAlign w:val="center"/>
          </w:tcPr>
          <w:p w14:paraId="0268A7A9">
            <w:pPr>
              <w:spacing w:line="340" w:lineRule="exact"/>
              <w:jc w:val="center"/>
              <w:rPr>
                <w:rFonts w:eastAsia="仿宋_GB2312"/>
                <w:sz w:val="24"/>
              </w:rPr>
            </w:pPr>
            <w:r>
              <w:rPr>
                <w:rFonts w:eastAsia="仿宋_GB2312"/>
                <w:sz w:val="24"/>
              </w:rPr>
              <w:t>项目预算及预期绩效目标编制水平</w:t>
            </w:r>
          </w:p>
        </w:tc>
        <w:tc>
          <w:tcPr>
            <w:tcW w:w="727" w:type="dxa"/>
            <w:noWrap w:val="0"/>
            <w:vAlign w:val="center"/>
          </w:tcPr>
          <w:p w14:paraId="53094E3A">
            <w:pPr>
              <w:spacing w:line="340" w:lineRule="exact"/>
              <w:jc w:val="center"/>
              <w:rPr>
                <w:rFonts w:eastAsia="仿宋_GB2312"/>
                <w:sz w:val="24"/>
              </w:rPr>
            </w:pPr>
            <w:r>
              <w:rPr>
                <w:rFonts w:eastAsia="仿宋_GB2312"/>
                <w:sz w:val="24"/>
              </w:rPr>
              <w:t>10</w:t>
            </w:r>
          </w:p>
        </w:tc>
        <w:tc>
          <w:tcPr>
            <w:tcW w:w="6770" w:type="dxa"/>
            <w:noWrap w:val="0"/>
            <w:vAlign w:val="top"/>
          </w:tcPr>
          <w:p w14:paraId="43E72FCD">
            <w:pPr>
              <w:spacing w:line="460" w:lineRule="exact"/>
              <w:rPr>
                <w:rFonts w:eastAsia="仿宋_GB2312"/>
                <w:sz w:val="24"/>
              </w:rPr>
            </w:pPr>
            <w:r>
              <w:rPr>
                <w:rFonts w:eastAsia="仿宋_GB2312"/>
                <w:sz w:val="24"/>
              </w:rPr>
              <w:t>1、项目预算（即投入目标）的科学、合理性，5分。项目预算编制存在下列问题的，各扣1分，扣完为止：（1）项目设置与部门（单位）履职无关或与部门（单位）职能衔接不够，与其他项目存在重叠交叉；（2）将由非本级政府（财政）承担的事项列入本级项目支出责任范围；（3）项目支出事项测算没有具体的数量、规格、型号或人数、天数等基本信息；（4）项目支出事项测算与市场价格相差很远，或没有体现厉行节约原则；（5）将未经政府批准，或未受委托履行政府职能的中介机构、协会、学会等非预算单位的经费补助编入项目预算；（6）将接待经费、未经批准的临时人员工资或没有依据的津补贴、奖金、福利等编入项目预算；（7）将没有具体内容的“其他”、“不可预见费”和“机动经费”等编入项目预算。</w:t>
            </w:r>
          </w:p>
          <w:p w14:paraId="735AE623">
            <w:pPr>
              <w:spacing w:line="460" w:lineRule="exact"/>
              <w:rPr>
                <w:rFonts w:eastAsia="仿宋_GB2312"/>
                <w:sz w:val="24"/>
              </w:rPr>
            </w:pPr>
            <w:r>
              <w:rPr>
                <w:rFonts w:eastAsia="仿宋_GB2312"/>
                <w:sz w:val="24"/>
              </w:rPr>
              <w:t>2、项目预期绩效目标的完整性、相关性，3分。申报的产出或效果类绩效目标没有设定相关联的绩效指标，各扣</w:t>
            </w:r>
            <w:r>
              <w:rPr>
                <w:rFonts w:hint="eastAsia" w:eastAsia="仿宋_GB2312"/>
                <w:sz w:val="24"/>
              </w:rPr>
              <w:t>0.8</w:t>
            </w:r>
            <w:r>
              <w:rPr>
                <w:rFonts w:eastAsia="仿宋_GB2312"/>
                <w:sz w:val="24"/>
              </w:rPr>
              <w:t>分；设置的产出或效果类关键性指标可以量化而没有量化的，各扣</w:t>
            </w:r>
            <w:r>
              <w:rPr>
                <w:rFonts w:hint="eastAsia" w:eastAsia="仿宋_GB2312"/>
                <w:sz w:val="24"/>
              </w:rPr>
              <w:t>0.7</w:t>
            </w:r>
            <w:r>
              <w:rPr>
                <w:rFonts w:eastAsia="仿宋_GB2312"/>
                <w:sz w:val="24"/>
              </w:rPr>
              <w:t>分；没有申报项目预期绩效目标的，不得分。</w:t>
            </w:r>
          </w:p>
          <w:p w14:paraId="4E7F1DF6">
            <w:pPr>
              <w:spacing w:line="460" w:lineRule="exact"/>
              <w:rPr>
                <w:rFonts w:eastAsia="仿宋_GB2312"/>
                <w:sz w:val="24"/>
              </w:rPr>
            </w:pPr>
            <w:r>
              <w:rPr>
                <w:rFonts w:eastAsia="仿宋_GB2312"/>
                <w:sz w:val="24"/>
              </w:rPr>
              <w:t>3、项目预算（投入目标）与项目产出、效果目标的匹配性，2分。在既定资金规模下，项目产出、效果目标过高或过低；或者要完成既定项目产出、效果目标，资金规模过大或过小的，不得分；没有申报绩效目标，无法判定项目投入目标与产出、效果目标的匹配性的，不得分。</w:t>
            </w:r>
          </w:p>
        </w:tc>
      </w:tr>
      <w:tr w14:paraId="24DE3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321" w:type="dxa"/>
            <w:noWrap w:val="0"/>
            <w:vAlign w:val="center"/>
          </w:tcPr>
          <w:p w14:paraId="388F5D10">
            <w:pPr>
              <w:spacing w:line="300" w:lineRule="exact"/>
              <w:jc w:val="center"/>
              <w:rPr>
                <w:rFonts w:eastAsia="仿宋_GB2312"/>
                <w:sz w:val="24"/>
              </w:rPr>
            </w:pPr>
            <w:r>
              <w:rPr>
                <w:rFonts w:eastAsia="仿宋_GB2312"/>
                <w:sz w:val="24"/>
              </w:rPr>
              <w:t>预算执行率</w:t>
            </w:r>
          </w:p>
        </w:tc>
        <w:tc>
          <w:tcPr>
            <w:tcW w:w="727" w:type="dxa"/>
            <w:noWrap w:val="0"/>
            <w:vAlign w:val="center"/>
          </w:tcPr>
          <w:p w14:paraId="505D4569">
            <w:pPr>
              <w:spacing w:line="340" w:lineRule="exact"/>
              <w:jc w:val="center"/>
              <w:rPr>
                <w:rFonts w:eastAsia="仿宋_GB2312"/>
                <w:sz w:val="24"/>
              </w:rPr>
            </w:pPr>
            <w:r>
              <w:rPr>
                <w:rFonts w:eastAsia="仿宋_GB2312"/>
                <w:sz w:val="24"/>
              </w:rPr>
              <w:t>10</w:t>
            </w:r>
          </w:p>
        </w:tc>
        <w:tc>
          <w:tcPr>
            <w:tcW w:w="6770" w:type="dxa"/>
            <w:noWrap w:val="0"/>
            <w:vAlign w:val="center"/>
          </w:tcPr>
          <w:p w14:paraId="55589FCE">
            <w:pPr>
              <w:spacing w:line="440" w:lineRule="exact"/>
              <w:rPr>
                <w:rFonts w:eastAsia="仿宋_GB2312"/>
                <w:sz w:val="24"/>
              </w:rPr>
            </w:pPr>
            <w:r>
              <w:rPr>
                <w:rFonts w:eastAsia="仿宋_GB2312"/>
                <w:sz w:val="24"/>
              </w:rPr>
              <w:t>预算执行率S≥95%，得满分；每下降1%，扣0.25分，扣完为止。</w:t>
            </w:r>
          </w:p>
        </w:tc>
      </w:tr>
      <w:tr w14:paraId="0123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321" w:type="dxa"/>
            <w:noWrap w:val="0"/>
            <w:vAlign w:val="center"/>
          </w:tcPr>
          <w:p w14:paraId="5CB637E9">
            <w:pPr>
              <w:spacing w:line="340" w:lineRule="exact"/>
              <w:jc w:val="center"/>
              <w:rPr>
                <w:rFonts w:hint="eastAsia" w:eastAsia="仿宋_GB2312"/>
                <w:sz w:val="24"/>
              </w:rPr>
            </w:pPr>
            <w:r>
              <w:rPr>
                <w:rFonts w:eastAsia="仿宋_GB2312"/>
                <w:sz w:val="24"/>
              </w:rPr>
              <w:t>项目组织</w:t>
            </w:r>
          </w:p>
          <w:p w14:paraId="5FEC09EA">
            <w:pPr>
              <w:spacing w:line="340" w:lineRule="exact"/>
              <w:jc w:val="center"/>
              <w:rPr>
                <w:rFonts w:eastAsia="仿宋_GB2312"/>
                <w:sz w:val="24"/>
              </w:rPr>
            </w:pPr>
            <w:r>
              <w:rPr>
                <w:rFonts w:eastAsia="仿宋_GB2312"/>
                <w:sz w:val="24"/>
              </w:rPr>
              <w:t>管理水平</w:t>
            </w:r>
          </w:p>
        </w:tc>
        <w:tc>
          <w:tcPr>
            <w:tcW w:w="727" w:type="dxa"/>
            <w:noWrap w:val="0"/>
            <w:vAlign w:val="center"/>
          </w:tcPr>
          <w:p w14:paraId="63378E0C">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33EB01B2">
            <w:pPr>
              <w:spacing w:line="460" w:lineRule="exact"/>
              <w:rPr>
                <w:rFonts w:eastAsia="仿宋_GB2312"/>
                <w:sz w:val="24"/>
              </w:rPr>
            </w:pPr>
            <w:r>
              <w:rPr>
                <w:rFonts w:eastAsia="仿宋_GB2312"/>
                <w:sz w:val="24"/>
              </w:rPr>
              <w:t>1、建立健全项目管理制度，得</w:t>
            </w:r>
            <w:r>
              <w:rPr>
                <w:rFonts w:hint="eastAsia" w:eastAsia="仿宋_GB2312"/>
                <w:sz w:val="24"/>
              </w:rPr>
              <w:t>4</w:t>
            </w:r>
            <w:r>
              <w:rPr>
                <w:rFonts w:eastAsia="仿宋_GB2312"/>
                <w:sz w:val="24"/>
              </w:rPr>
              <w:t>分。</w:t>
            </w:r>
          </w:p>
          <w:p w14:paraId="5E9DE436">
            <w:pPr>
              <w:spacing w:line="460" w:lineRule="exact"/>
              <w:rPr>
                <w:rFonts w:eastAsia="仿宋_GB2312"/>
                <w:sz w:val="24"/>
              </w:rPr>
            </w:pPr>
            <w:r>
              <w:rPr>
                <w:rFonts w:eastAsia="仿宋_GB2312"/>
                <w:sz w:val="24"/>
              </w:rPr>
              <w:t>2、严格执行项目管理制度，得</w:t>
            </w:r>
            <w:r>
              <w:rPr>
                <w:rFonts w:hint="eastAsia" w:eastAsia="仿宋_GB2312"/>
                <w:sz w:val="24"/>
              </w:rPr>
              <w:t>6</w:t>
            </w:r>
            <w:r>
              <w:rPr>
                <w:rFonts w:eastAsia="仿宋_GB2312"/>
                <w:sz w:val="24"/>
              </w:rPr>
              <w:t>分。其中，购买商品、工程和服务不依法政府采购或工程项目不按规定招投标的，不得分。</w:t>
            </w:r>
          </w:p>
        </w:tc>
      </w:tr>
      <w:tr w14:paraId="2713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0" w:hRule="atLeast"/>
        </w:trPr>
        <w:tc>
          <w:tcPr>
            <w:tcW w:w="1321" w:type="dxa"/>
            <w:noWrap w:val="0"/>
            <w:vAlign w:val="center"/>
          </w:tcPr>
          <w:p w14:paraId="3D236367">
            <w:pPr>
              <w:spacing w:line="340" w:lineRule="exact"/>
              <w:jc w:val="center"/>
              <w:rPr>
                <w:rFonts w:hint="eastAsia" w:eastAsia="仿宋_GB2312"/>
                <w:sz w:val="24"/>
              </w:rPr>
            </w:pPr>
            <w:r>
              <w:rPr>
                <w:rFonts w:eastAsia="仿宋_GB2312"/>
                <w:sz w:val="24"/>
              </w:rPr>
              <w:t>资金支出</w:t>
            </w:r>
          </w:p>
          <w:p w14:paraId="38CA8111">
            <w:pPr>
              <w:spacing w:line="340" w:lineRule="exact"/>
              <w:jc w:val="center"/>
              <w:rPr>
                <w:rFonts w:eastAsia="仿宋_GB2312"/>
                <w:sz w:val="24"/>
              </w:rPr>
            </w:pPr>
            <w:r>
              <w:rPr>
                <w:rFonts w:eastAsia="仿宋_GB2312"/>
                <w:sz w:val="24"/>
              </w:rPr>
              <w:t>合理合规</w:t>
            </w:r>
          </w:p>
        </w:tc>
        <w:tc>
          <w:tcPr>
            <w:tcW w:w="727" w:type="dxa"/>
            <w:noWrap w:val="0"/>
            <w:vAlign w:val="center"/>
          </w:tcPr>
          <w:p w14:paraId="4102413E">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1C4FC7CF">
            <w:pPr>
              <w:spacing w:line="460" w:lineRule="exact"/>
              <w:rPr>
                <w:rFonts w:eastAsia="仿宋_GB2312"/>
                <w:sz w:val="24"/>
              </w:rPr>
            </w:pPr>
            <w:r>
              <w:rPr>
                <w:rFonts w:eastAsia="仿宋_GB2312"/>
                <w:sz w:val="24"/>
              </w:rPr>
              <w:t>资金支出合理合规比率=（项目资金支出-不合理合规资金支出）/项目资金支出×100%。</w:t>
            </w:r>
          </w:p>
          <w:p w14:paraId="6AF63BD9">
            <w:pPr>
              <w:spacing w:line="460" w:lineRule="exact"/>
              <w:rPr>
                <w:rFonts w:eastAsia="仿宋_GB2312"/>
                <w:sz w:val="24"/>
              </w:rPr>
            </w:pPr>
            <w:r>
              <w:rPr>
                <w:rFonts w:eastAsia="仿宋_GB2312"/>
                <w:sz w:val="24"/>
              </w:rPr>
              <w:t>不合理合规资金支出是指项目资金支出超出项目预算范围，与本项目预算不相符、无关或不符合国家财经法规和财务管理制度以及专项资金管理办法等规定的支出，如以虚报、冒领等手段骗取财政资金；截留、挪用财政资金；滞留应当下拨的财政资金；违反规定扩大开支范围，提高开支标准；违规发放津贴补贴；白条入账等。</w:t>
            </w:r>
          </w:p>
          <w:p w14:paraId="1A28730A">
            <w:pPr>
              <w:spacing w:line="460" w:lineRule="exact"/>
              <w:rPr>
                <w:rFonts w:eastAsia="仿宋_GB2312"/>
                <w:sz w:val="24"/>
              </w:rPr>
            </w:pPr>
            <w:r>
              <w:rPr>
                <w:rFonts w:eastAsia="仿宋_GB2312"/>
                <w:sz w:val="24"/>
              </w:rPr>
              <w:t>资金支出合理合规比率S=100%，得满分；每下降1%，扣1分，扣完为止。</w:t>
            </w:r>
          </w:p>
        </w:tc>
      </w:tr>
      <w:tr w14:paraId="4A79F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1321" w:type="dxa"/>
            <w:noWrap w:val="0"/>
            <w:vAlign w:val="center"/>
          </w:tcPr>
          <w:p w14:paraId="127A3628">
            <w:pPr>
              <w:spacing w:line="340" w:lineRule="exact"/>
              <w:jc w:val="center"/>
              <w:rPr>
                <w:rFonts w:eastAsia="仿宋_GB2312"/>
                <w:sz w:val="24"/>
              </w:rPr>
            </w:pPr>
            <w:r>
              <w:rPr>
                <w:rFonts w:eastAsia="仿宋_GB2312"/>
                <w:sz w:val="24"/>
              </w:rPr>
              <w:t>项目</w:t>
            </w:r>
          </w:p>
          <w:p w14:paraId="1EF71A87">
            <w:pPr>
              <w:spacing w:line="340" w:lineRule="exact"/>
              <w:jc w:val="center"/>
              <w:rPr>
                <w:rFonts w:eastAsia="仿宋_GB2312"/>
                <w:sz w:val="24"/>
              </w:rPr>
            </w:pPr>
            <w:r>
              <w:rPr>
                <w:rFonts w:eastAsia="仿宋_GB2312"/>
                <w:sz w:val="24"/>
              </w:rPr>
              <w:t>产出</w:t>
            </w:r>
          </w:p>
        </w:tc>
        <w:tc>
          <w:tcPr>
            <w:tcW w:w="727" w:type="dxa"/>
            <w:noWrap w:val="0"/>
            <w:vAlign w:val="center"/>
          </w:tcPr>
          <w:p w14:paraId="074AB9AF">
            <w:pPr>
              <w:spacing w:line="340" w:lineRule="exact"/>
              <w:jc w:val="center"/>
              <w:rPr>
                <w:rFonts w:eastAsia="仿宋_GB2312"/>
                <w:sz w:val="24"/>
              </w:rPr>
            </w:pPr>
            <w:r>
              <w:rPr>
                <w:rFonts w:eastAsia="仿宋_GB2312"/>
                <w:sz w:val="24"/>
              </w:rPr>
              <w:t>30</w:t>
            </w:r>
          </w:p>
        </w:tc>
        <w:tc>
          <w:tcPr>
            <w:tcW w:w="6770" w:type="dxa"/>
            <w:noWrap w:val="0"/>
            <w:vAlign w:val="top"/>
          </w:tcPr>
          <w:p w14:paraId="1CEFE594">
            <w:pPr>
              <w:spacing w:line="460" w:lineRule="exact"/>
              <w:rPr>
                <w:rFonts w:eastAsia="仿宋_GB2312"/>
                <w:sz w:val="24"/>
              </w:rPr>
            </w:pPr>
            <w:r>
              <w:rPr>
                <w:rFonts w:eastAsia="仿宋_GB2312"/>
                <w:sz w:val="24"/>
              </w:rPr>
              <w:t>要求根据项目性质和项目预期绩效目标（产出类目标），细化为产出数量、产出质量、产出时效、成本控制等方面进行评价。具体指标可量化的，按完成量化比例计分；具体指标不可量化的，按工作完成程度定性分成：完成、基本完成、基本未完成、未执行四档，分别按100%、90%－60%、50%－10%、0%计分。</w:t>
            </w:r>
          </w:p>
        </w:tc>
      </w:tr>
      <w:tr w14:paraId="1E9A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1321" w:type="dxa"/>
            <w:noWrap w:val="0"/>
            <w:vAlign w:val="center"/>
          </w:tcPr>
          <w:p w14:paraId="22C48547">
            <w:pPr>
              <w:spacing w:line="340" w:lineRule="exact"/>
              <w:jc w:val="center"/>
              <w:rPr>
                <w:rFonts w:hint="eastAsia" w:eastAsia="仿宋_GB2312"/>
                <w:sz w:val="24"/>
              </w:rPr>
            </w:pPr>
            <w:r>
              <w:rPr>
                <w:rFonts w:eastAsia="仿宋_GB2312"/>
                <w:sz w:val="24"/>
              </w:rPr>
              <w:t>项目效益</w:t>
            </w:r>
          </w:p>
          <w:p w14:paraId="440070B2">
            <w:pPr>
              <w:spacing w:line="340" w:lineRule="exact"/>
              <w:jc w:val="center"/>
              <w:rPr>
                <w:rFonts w:eastAsia="仿宋_GB2312"/>
                <w:sz w:val="24"/>
              </w:rPr>
            </w:pPr>
            <w:r>
              <w:rPr>
                <w:rFonts w:eastAsia="仿宋_GB2312"/>
                <w:sz w:val="24"/>
              </w:rPr>
              <w:t>（效果）</w:t>
            </w:r>
          </w:p>
        </w:tc>
        <w:tc>
          <w:tcPr>
            <w:tcW w:w="727" w:type="dxa"/>
            <w:noWrap w:val="0"/>
            <w:vAlign w:val="center"/>
          </w:tcPr>
          <w:p w14:paraId="0ECA2B7E">
            <w:pPr>
              <w:spacing w:line="340" w:lineRule="exact"/>
              <w:jc w:val="center"/>
              <w:rPr>
                <w:rFonts w:eastAsia="仿宋_GB2312"/>
                <w:sz w:val="24"/>
              </w:rPr>
            </w:pPr>
            <w:r>
              <w:rPr>
                <w:rFonts w:eastAsia="仿宋_GB2312"/>
                <w:sz w:val="24"/>
              </w:rPr>
              <w:t>20</w:t>
            </w:r>
          </w:p>
        </w:tc>
        <w:tc>
          <w:tcPr>
            <w:tcW w:w="6770" w:type="dxa"/>
            <w:noWrap w:val="0"/>
            <w:vAlign w:val="top"/>
          </w:tcPr>
          <w:p w14:paraId="16705DC2">
            <w:pPr>
              <w:spacing w:line="460" w:lineRule="exact"/>
              <w:rPr>
                <w:rFonts w:eastAsia="仿宋_GB2312"/>
                <w:sz w:val="24"/>
              </w:rPr>
            </w:pPr>
            <w:r>
              <w:rPr>
                <w:rFonts w:eastAsia="仿宋_GB2312"/>
                <w:sz w:val="24"/>
              </w:rPr>
              <w:t>要求根据项目性质和项目预期绩效目标（效益或效果类目标），细化为经济效益、社会效益、环境效益和可持续影响及服务对象满意度等具体绩效指标进行评价。具体指标可量化的，按取得效益或效果的量化比例计分；不可量化的，按目标达到程度分成：达到、基本达到、基本未达到、未达到四档，分别按100%、90%－60%、50%－10%、0%计分。</w:t>
            </w:r>
          </w:p>
        </w:tc>
      </w:tr>
      <w:tr w14:paraId="2F5DD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1321" w:type="dxa"/>
            <w:noWrap w:val="0"/>
            <w:vAlign w:val="center"/>
          </w:tcPr>
          <w:p w14:paraId="1729C2B2">
            <w:pPr>
              <w:spacing w:line="340" w:lineRule="exact"/>
              <w:jc w:val="center"/>
              <w:rPr>
                <w:rFonts w:hint="eastAsia" w:eastAsia="仿宋_GB2312"/>
                <w:sz w:val="24"/>
              </w:rPr>
            </w:pPr>
            <w:r>
              <w:rPr>
                <w:rFonts w:hint="eastAsia" w:eastAsia="仿宋_GB2312"/>
                <w:sz w:val="24"/>
              </w:rPr>
              <w:t>服务对象满意度</w:t>
            </w:r>
          </w:p>
        </w:tc>
        <w:tc>
          <w:tcPr>
            <w:tcW w:w="727" w:type="dxa"/>
            <w:noWrap w:val="0"/>
            <w:vAlign w:val="center"/>
          </w:tcPr>
          <w:p w14:paraId="57E3B7B5">
            <w:pPr>
              <w:spacing w:line="340" w:lineRule="exact"/>
              <w:jc w:val="center"/>
              <w:rPr>
                <w:rFonts w:hint="eastAsia" w:eastAsia="仿宋_GB2312"/>
                <w:sz w:val="24"/>
              </w:rPr>
            </w:pPr>
            <w:r>
              <w:rPr>
                <w:rFonts w:hint="eastAsia" w:eastAsia="仿宋_GB2312"/>
                <w:sz w:val="24"/>
              </w:rPr>
              <w:t>10</w:t>
            </w:r>
          </w:p>
        </w:tc>
        <w:tc>
          <w:tcPr>
            <w:tcW w:w="6770" w:type="dxa"/>
            <w:noWrap w:val="0"/>
            <w:vAlign w:val="top"/>
          </w:tcPr>
          <w:p w14:paraId="1F4BA94C">
            <w:pPr>
              <w:spacing w:line="340" w:lineRule="exact"/>
              <w:jc w:val="left"/>
              <w:rPr>
                <w:rFonts w:hint="eastAsia" w:eastAsia="仿宋_GB2312"/>
                <w:sz w:val="24"/>
              </w:rPr>
            </w:pPr>
            <w:r>
              <w:rPr>
                <w:rFonts w:hint="eastAsia" w:eastAsia="仿宋_GB2312"/>
                <w:sz w:val="24"/>
              </w:rPr>
              <w:t>服务对象满意度计分：</w:t>
            </w:r>
          </w:p>
          <w:p w14:paraId="399CDE93">
            <w:pPr>
              <w:spacing w:line="340" w:lineRule="exact"/>
              <w:jc w:val="left"/>
              <w:rPr>
                <w:rFonts w:hint="eastAsia" w:eastAsia="仿宋_GB2312"/>
                <w:sz w:val="24"/>
              </w:rPr>
            </w:pPr>
            <w:r>
              <w:rPr>
                <w:rFonts w:hint="eastAsia" w:eastAsia="仿宋_GB2312"/>
                <w:sz w:val="24"/>
              </w:rPr>
              <w:t>90%≤满意度≤100%记10分，</w:t>
            </w:r>
          </w:p>
          <w:p w14:paraId="3A926D3D">
            <w:pPr>
              <w:spacing w:line="340" w:lineRule="exact"/>
              <w:jc w:val="left"/>
              <w:rPr>
                <w:rFonts w:hint="eastAsia" w:eastAsia="仿宋_GB2312"/>
                <w:sz w:val="24"/>
              </w:rPr>
            </w:pPr>
            <w:r>
              <w:rPr>
                <w:rFonts w:hint="eastAsia" w:eastAsia="仿宋_GB2312"/>
                <w:sz w:val="24"/>
              </w:rPr>
              <w:t>80%≤满意度&lt;90%记8分，</w:t>
            </w:r>
          </w:p>
          <w:p w14:paraId="14481ED3">
            <w:pPr>
              <w:spacing w:line="340" w:lineRule="exact"/>
              <w:jc w:val="left"/>
              <w:rPr>
                <w:rFonts w:hint="eastAsia" w:eastAsia="仿宋_GB2312"/>
                <w:sz w:val="24"/>
              </w:rPr>
            </w:pPr>
            <w:r>
              <w:rPr>
                <w:rFonts w:hint="eastAsia" w:eastAsia="仿宋_GB2312"/>
                <w:sz w:val="24"/>
              </w:rPr>
              <w:t>70%≤满意度&lt;80%记6分，</w:t>
            </w:r>
          </w:p>
          <w:p w14:paraId="3F349F34">
            <w:pPr>
              <w:spacing w:line="340" w:lineRule="exact"/>
              <w:jc w:val="left"/>
              <w:rPr>
                <w:rFonts w:hint="eastAsia" w:eastAsia="仿宋_GB2312"/>
                <w:sz w:val="24"/>
              </w:rPr>
            </w:pPr>
            <w:r>
              <w:rPr>
                <w:rFonts w:hint="eastAsia" w:eastAsia="仿宋_GB2312"/>
                <w:sz w:val="24"/>
              </w:rPr>
              <w:t>60%≤满意度&lt;70%记4分，</w:t>
            </w:r>
          </w:p>
          <w:p w14:paraId="5BB55865">
            <w:pPr>
              <w:spacing w:line="340" w:lineRule="exact"/>
              <w:jc w:val="left"/>
              <w:rPr>
                <w:rFonts w:eastAsia="仿宋_GB2312"/>
                <w:sz w:val="24"/>
              </w:rPr>
            </w:pPr>
            <w:r>
              <w:rPr>
                <w:rFonts w:hint="eastAsia" w:eastAsia="仿宋_GB2312"/>
                <w:sz w:val="24"/>
              </w:rPr>
              <w:t>满意度&lt;60%记0分。</w:t>
            </w:r>
          </w:p>
        </w:tc>
      </w:tr>
    </w:tbl>
    <w:p w14:paraId="07B400EF">
      <w:pPr>
        <w:ind w:left="0" w:leftChars="0" w:firstLine="0" w:firstLineChars="0"/>
      </w:pPr>
    </w:p>
    <w:sectPr>
      <w:pgSz w:w="11906" w:h="16838"/>
      <w:pgMar w:top="363" w:right="1800" w:bottom="476"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5201C1"/>
    <w:multiLevelType w:val="singleLevel"/>
    <w:tmpl w:val="2D5201C1"/>
    <w:lvl w:ilvl="0" w:tentative="0">
      <w:start w:val="2"/>
      <w:numFmt w:val="chineseCounting"/>
      <w:suff w:val="nothing"/>
      <w:lvlText w:val="（%1）"/>
      <w:lvlJc w:val="left"/>
      <w:pPr>
        <w:ind w:left="-41"/>
      </w:pPr>
      <w:rPr>
        <w:rFonts w:hint="eastAsia"/>
      </w:rPr>
    </w:lvl>
  </w:abstractNum>
  <w:abstractNum w:abstractNumId="1">
    <w:nsid w:val="33BD9735"/>
    <w:multiLevelType w:val="singleLevel"/>
    <w:tmpl w:val="33BD9735"/>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646EC6"/>
    <w:rsid w:val="0E3759DB"/>
    <w:rsid w:val="13D500B4"/>
    <w:rsid w:val="1FE73A01"/>
    <w:rsid w:val="21CD17AD"/>
    <w:rsid w:val="26B62AAF"/>
    <w:rsid w:val="2CBA1532"/>
    <w:rsid w:val="36747F8C"/>
    <w:rsid w:val="39B07BEF"/>
    <w:rsid w:val="46022379"/>
    <w:rsid w:val="47EF4992"/>
    <w:rsid w:val="4B270615"/>
    <w:rsid w:val="514754D2"/>
    <w:rsid w:val="5239228D"/>
    <w:rsid w:val="52A75AAC"/>
    <w:rsid w:val="54CC782F"/>
    <w:rsid w:val="55055126"/>
    <w:rsid w:val="61CA33D6"/>
    <w:rsid w:val="7CE30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styleId="4">
    <w:name w:val="Body Text First Indent"/>
    <w:basedOn w:val="2"/>
    <w:qFormat/>
    <w:uiPriority w:val="0"/>
    <w:pPr>
      <w:spacing w:after="200"/>
      <w:ind w:firstLine="100" w:firstLineChars="100"/>
      <w:jc w:val="center"/>
    </w:pPr>
    <w:rPr>
      <w:rFonts w:ascii="??_GB2312" w:hAnsi="??_GB2312" w:cs="??_GB2312"/>
      <w:sz w:val="24"/>
    </w:rPr>
  </w:style>
  <w:style w:type="character" w:styleId="7">
    <w:name w:val="Strong"/>
    <w:qFormat/>
    <w:uiPriority w:val="0"/>
    <w:rPr>
      <w:b/>
      <w:bCs/>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3695</Words>
  <Characters>3877</Characters>
  <Lines>0</Lines>
  <Paragraphs>0</Paragraphs>
  <TotalTime>2</TotalTime>
  <ScaleCrop>false</ScaleCrop>
  <LinksUpToDate>false</LinksUpToDate>
  <CharactersWithSpaces>3995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2025-02-26T01:21:00Z</dcterms:created>
  <dc:creator>Administrator</dc:creator>
  <cp:lastModifiedBy>Administrator</cp:lastModifiedBy>
  <cp:lastPrinted>2025-03-05T07:44:00Z</cp:lastPrinted>
  <dcterms:modified xsi:type="dcterms:W3CDTF">2025-04-08T08:11:44Z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eyJoZGlkIjoiMDYzMDYzZTlmNWM4MTFlN2ZmZmFjZTE1YmMyNWJmY2EifQ==</vt:lpwstr>
  </property>
  <property fmtid="{D5CDD505-2E9C-101B-9397-08002B2CF9AE}" pid="4" name="ICV">
    <vt:lpwstr>B9F75FEFCFC04801BFE58F57521E317D_13</vt:lpwstr>
  </property>
</Properties>
</file>